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72"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 w:eastAsia="zh-CN"/>
        </w:rPr>
        <w:t>区委政法委</w:t>
      </w:r>
      <w:r>
        <w:rPr>
          <w:rFonts w:hint="eastAsia" w:ascii="方正小标宋_GBK" w:hAnsi="方正小标宋_GBK" w:eastAsia="方正小标宋_GBK" w:cs="方正小标宋_GBK"/>
          <w:sz w:val="44"/>
          <w:szCs w:val="44"/>
          <w:lang w:val="en-US" w:eastAsia="zh-CN"/>
        </w:rPr>
        <w:t>2023年度法律服务项目</w:t>
      </w:r>
    </w:p>
    <w:p>
      <w:pPr>
        <w:keepNext w:val="0"/>
        <w:keepLines w:val="0"/>
        <w:pageBreakBefore w:val="0"/>
        <w:widowControl w:val="0"/>
        <w:kinsoku/>
        <w:wordWrap/>
        <w:overflowPunct/>
        <w:topLinePunct w:val="0"/>
        <w:autoSpaceDE/>
        <w:autoSpaceDN/>
        <w:bidi w:val="0"/>
        <w:adjustRightInd/>
        <w:snapToGrid/>
        <w:spacing w:line="560" w:lineRule="exact"/>
        <w:ind w:firstLine="872"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采购需求书</w:t>
      </w:r>
      <w:bookmarkStart w:id="0" w:name="_Toc128884461"/>
    </w:p>
    <w:p>
      <w:pPr>
        <w:pStyle w:val="8"/>
        <w:rPr>
          <w:rFonts w:hint="eastAsia"/>
        </w:rPr>
      </w:pPr>
    </w:p>
    <w:p>
      <w:pPr>
        <w:pStyle w:val="4"/>
        <w:pageBreakBefore w:val="0"/>
        <w:widowControl w:val="0"/>
        <w:kinsoku/>
        <w:wordWrap/>
        <w:overflowPunct/>
        <w:topLinePunct w:val="0"/>
        <w:autoSpaceDE/>
        <w:autoSpaceDN/>
        <w:bidi w:val="0"/>
        <w:adjustRightInd/>
        <w:snapToGrid/>
        <w:spacing w:before="0" w:after="0" w:line="560" w:lineRule="exact"/>
        <w:ind w:left="0" w:leftChars="0" w:firstLine="632" w:firstLineChars="200"/>
        <w:jc w:val="both"/>
        <w:textAlignment w:val="auto"/>
        <w:rPr>
          <w:rFonts w:hint="eastAsia" w:ascii="CESI黑体-GB2312" w:hAnsi="CESI黑体-GB2312" w:eastAsia="CESI黑体-GB2312" w:cs="CESI黑体-GB2312"/>
          <w:b w:val="0"/>
          <w:bCs w:val="0"/>
          <w:sz w:val="32"/>
          <w:szCs w:val="32"/>
        </w:rPr>
      </w:pPr>
      <w:r>
        <w:rPr>
          <w:rFonts w:hint="eastAsia" w:ascii="CESI黑体-GB2312" w:hAnsi="CESI黑体-GB2312" w:eastAsia="CESI黑体-GB2312" w:cs="CESI黑体-GB2312"/>
          <w:b w:val="0"/>
          <w:kern w:val="0"/>
          <w:sz w:val="32"/>
          <w:szCs w:val="32"/>
        </w:rPr>
        <w:t>一、</w:t>
      </w:r>
      <w:bookmarkEnd w:id="0"/>
      <w:r>
        <w:rPr>
          <w:rFonts w:hint="eastAsia" w:ascii="CESI黑体-GB2312" w:hAnsi="CESI黑体-GB2312" w:eastAsia="CESI黑体-GB2312" w:cs="CESI黑体-GB2312"/>
          <w:b w:val="0"/>
          <w:kern w:val="0"/>
          <w:sz w:val="32"/>
          <w:szCs w:val="32"/>
        </w:rPr>
        <w:t>项目情况介绍</w:t>
      </w:r>
    </w:p>
    <w:p>
      <w:pPr>
        <w:pStyle w:val="5"/>
        <w:pageBreakBefore w:val="0"/>
        <w:widowControl w:val="0"/>
        <w:kinsoku/>
        <w:wordWrap/>
        <w:overflowPunct/>
        <w:topLinePunct w:val="0"/>
        <w:autoSpaceDE/>
        <w:autoSpaceDN/>
        <w:bidi w:val="0"/>
        <w:adjustRightInd/>
        <w:snapToGrid/>
        <w:spacing w:before="0" w:after="0" w:line="560" w:lineRule="exact"/>
        <w:ind w:left="0" w:leftChars="0" w:firstLine="632" w:firstLineChars="200"/>
        <w:jc w:val="both"/>
        <w:textAlignment w:val="auto"/>
        <w:rPr>
          <w:rFonts w:hint="eastAsia" w:ascii="楷体_GB2312" w:hAnsi="楷体_GB2312" w:eastAsia="楷体_GB2312" w:cs="楷体_GB2312"/>
          <w:color w:val="000000"/>
          <w:sz w:val="32"/>
          <w:szCs w:val="32"/>
          <w:u w:val="none"/>
        </w:rPr>
      </w:pPr>
      <w:r>
        <w:rPr>
          <w:rFonts w:hint="eastAsia" w:ascii="楷体_GB2312" w:hAnsi="楷体_GB2312" w:eastAsia="楷体_GB2312" w:cs="楷体_GB2312"/>
          <w:b w:val="0"/>
          <w:bCs w:val="0"/>
          <w:sz w:val="32"/>
          <w:szCs w:val="32"/>
        </w:rPr>
        <w:t>（一）项目</w:t>
      </w:r>
      <w:bookmarkStart w:id="1" w:name="_Toc128884464"/>
      <w:r>
        <w:rPr>
          <w:rFonts w:hint="eastAsia" w:ascii="楷体_GB2312" w:hAnsi="楷体_GB2312" w:eastAsia="楷体_GB2312" w:cs="楷体_GB2312"/>
          <w:b w:val="0"/>
          <w:bCs w:val="0"/>
          <w:sz w:val="32"/>
          <w:szCs w:val="32"/>
        </w:rPr>
        <w:t>概况</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000000"/>
          <w:sz w:val="32"/>
          <w:szCs w:val="32"/>
          <w:u w:val="none"/>
        </w:rPr>
        <w:t>1</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sz w:val="32"/>
          <w:szCs w:val="32"/>
          <w:u w:val="none"/>
        </w:rPr>
        <w:t>采购单位：</w:t>
      </w:r>
      <w:r>
        <w:rPr>
          <w:rFonts w:hint="eastAsia" w:ascii="仿宋_GB2312" w:hAnsi="仿宋_GB2312" w:eastAsia="仿宋_GB2312" w:cs="仿宋_GB2312"/>
          <w:sz w:val="32"/>
          <w:szCs w:val="32"/>
          <w:u w:val="none"/>
          <w:lang w:eastAsia="zh-CN"/>
        </w:rPr>
        <w:t>深圳市罗湖区委政法委</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2</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eastAsia="zh-CN"/>
        </w:rPr>
        <w:t>项目名称：</w:t>
      </w:r>
      <w:r>
        <w:rPr>
          <w:rFonts w:hint="eastAsia" w:ascii="仿宋_GB2312" w:hAnsi="仿宋_GB2312" w:eastAsia="仿宋_GB2312" w:cs="仿宋_GB2312"/>
          <w:sz w:val="32"/>
          <w:szCs w:val="32"/>
          <w:u w:val="none"/>
          <w:lang w:val="en-US" w:eastAsia="zh-CN"/>
        </w:rPr>
        <w:t>2023年度法律服务</w:t>
      </w:r>
    </w:p>
    <w:p>
      <w:pPr>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sz w:val="32"/>
          <w:szCs w:val="32"/>
          <w:u w:val="none"/>
        </w:rPr>
        <w:t>项目类型：服务类</w:t>
      </w:r>
    </w:p>
    <w:p>
      <w:pPr>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color w:val="auto"/>
          <w:kern w:val="0"/>
          <w:sz w:val="32"/>
          <w:szCs w:val="32"/>
          <w:u w:val="none"/>
          <w:lang w:val="en-US" w:eastAsia="zh-CN"/>
        </w:rPr>
        <w:t>4.</w:t>
      </w:r>
      <w:r>
        <w:rPr>
          <w:rFonts w:hint="eastAsia" w:ascii="仿宋_GB2312" w:hAnsi="仿宋_GB2312" w:eastAsia="仿宋_GB2312" w:cs="仿宋_GB2312"/>
          <w:snapToGrid w:val="0"/>
          <w:color w:val="auto"/>
          <w:kern w:val="0"/>
          <w:sz w:val="32"/>
          <w:szCs w:val="32"/>
          <w:u w:val="none"/>
        </w:rPr>
        <w:t>本项目预算</w:t>
      </w:r>
      <w:r>
        <w:rPr>
          <w:rFonts w:hint="eastAsia" w:ascii="仿宋_GB2312" w:hAnsi="仿宋_GB2312" w:eastAsia="仿宋_GB2312" w:cs="仿宋_GB2312"/>
          <w:sz w:val="32"/>
          <w:szCs w:val="32"/>
          <w:lang w:eastAsia="zh-CN"/>
        </w:rPr>
        <w:t>限额</w:t>
      </w:r>
      <w:r>
        <w:rPr>
          <w:rFonts w:hint="eastAsia" w:ascii="仿宋_GB2312" w:hAnsi="仿宋_GB2312" w:eastAsia="仿宋_GB2312" w:cs="仿宋_GB2312"/>
          <w:snapToGrid w:val="0"/>
          <w:color w:val="auto"/>
          <w:kern w:val="0"/>
          <w:sz w:val="32"/>
          <w:szCs w:val="32"/>
          <w:u w:val="none"/>
        </w:rPr>
        <w:t>：</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val="en-US" w:eastAsia="zh-CN"/>
        </w:rPr>
        <w:t>拾万元整（¥100000.00）</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本项目服务期限：</w:t>
      </w:r>
      <w:r>
        <w:rPr>
          <w:rFonts w:hint="eastAsia" w:ascii="仿宋_GB2312" w:hAnsi="仿宋_GB2312" w:eastAsia="仿宋_GB2312" w:cs="仿宋_GB2312"/>
          <w:sz w:val="32"/>
          <w:szCs w:val="32"/>
          <w:u w:val="none"/>
          <w:lang w:val="en-US" w:eastAsia="zh-CN"/>
        </w:rPr>
        <w:t>1年</w:t>
      </w:r>
      <w:r>
        <w:rPr>
          <w:rFonts w:hint="eastAsia" w:ascii="仿宋_GB2312" w:hAnsi="仿宋_GB2312" w:eastAsia="仿宋_GB2312" w:cs="仿宋_GB2312"/>
          <w:sz w:val="32"/>
          <w:szCs w:val="32"/>
          <w:u w:val="none"/>
          <w:lang w:eastAsia="zh-CN"/>
        </w:rPr>
        <w:t xml:space="preserve"> 。</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6.定标方法：评审定标</w:t>
      </w:r>
    </w:p>
    <w:p>
      <w:pPr>
        <w:pStyle w:val="5"/>
        <w:pageBreakBefore w:val="0"/>
        <w:widowControl w:val="0"/>
        <w:kinsoku/>
        <w:wordWrap/>
        <w:overflowPunct/>
        <w:topLinePunct w:val="0"/>
        <w:autoSpaceDE/>
        <w:autoSpaceDN/>
        <w:bidi w:val="0"/>
        <w:adjustRightInd/>
        <w:snapToGrid/>
        <w:spacing w:before="0" w:after="0" w:line="560" w:lineRule="exact"/>
        <w:ind w:left="0" w:leftChars="0" w:firstLine="632"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（二）响应供应商资格要求</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lang w:eastAsia="zh-CN"/>
        </w:rPr>
        <w:t>服务机构必须是经省、自治区、直辖市人民政府司法行政部门核准设立，持有经年检合格的律师事务所执业证书的律师事务所</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sz w:val="32"/>
          <w:szCs w:val="32"/>
          <w:lang w:val="en-US" w:eastAsia="zh-CN"/>
        </w:rPr>
        <w:t>非深圳市注册</w:t>
      </w:r>
      <w:r>
        <w:rPr>
          <w:rFonts w:hint="eastAsia" w:ascii="仿宋_GB2312" w:hAnsi="仿宋_GB2312" w:cs="仿宋_GB2312"/>
          <w:sz w:val="32"/>
          <w:szCs w:val="32"/>
          <w:lang w:val="en-US" w:eastAsia="zh-CN"/>
        </w:rPr>
        <w:t>机构</w:t>
      </w:r>
      <w:r>
        <w:rPr>
          <w:rFonts w:hint="eastAsia" w:ascii="仿宋_GB2312" w:hAnsi="仿宋_GB2312" w:eastAsia="仿宋_GB2312" w:cs="仿宋_GB2312"/>
          <w:sz w:val="32"/>
          <w:szCs w:val="32"/>
          <w:lang w:val="en-US" w:eastAsia="zh-CN"/>
        </w:rPr>
        <w:t>需在深圳市具有合法登记的分支机构及固定的场所和服务人员</w:t>
      </w:r>
      <w:r>
        <w:rPr>
          <w:rFonts w:hint="eastAsia" w:ascii="仿宋_GB2312" w:hAnsi="仿宋_GB2312" w:eastAsia="仿宋_GB2312" w:cs="仿宋_GB2312"/>
          <w:color w:val="000000"/>
          <w:sz w:val="32"/>
          <w:szCs w:val="32"/>
          <w:u w:val="none"/>
          <w:lang w:eastAsia="zh-CN"/>
        </w:rPr>
        <w:t>。</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eastAsia="zh-CN"/>
        </w:rPr>
        <w:t>响应供应商须具备独立承担民事责任的能力、良好的商业信誉、健全的财务会计制度、履行合同所必需的</w:t>
      </w:r>
      <w:r>
        <w:rPr>
          <w:rFonts w:hint="eastAsia" w:ascii="仿宋_GB2312" w:hAnsi="仿宋_GB2312" w:eastAsia="仿宋_GB2312" w:cs="仿宋_GB2312"/>
          <w:color w:val="000000"/>
          <w:sz w:val="32"/>
          <w:szCs w:val="32"/>
          <w:u w:val="none"/>
          <w:lang w:val="en-US" w:eastAsia="zh-CN"/>
        </w:rPr>
        <w:t>服务内容和要求</w:t>
      </w:r>
      <w:r>
        <w:rPr>
          <w:rFonts w:hint="eastAsia" w:ascii="仿宋_GB2312" w:hAnsi="仿宋_GB2312" w:eastAsia="仿宋_GB2312" w:cs="仿宋_GB2312"/>
          <w:color w:val="000000"/>
          <w:sz w:val="32"/>
          <w:szCs w:val="32"/>
          <w:u w:val="none"/>
          <w:lang w:eastAsia="zh-CN"/>
        </w:rPr>
        <w:t>，有依法缴纳税收和社会保障资金的良好记录；参加本项目前三年内，在经营活动中没有重大违法记录(由供应商在承诺书中作出声明)；</w:t>
      </w:r>
    </w:p>
    <w:p>
      <w:pPr>
        <w:pStyle w:val="7"/>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lang w:eastAsia="zh-CN"/>
        </w:rPr>
        <w:t>至项目需求公告发布之日止，不存在被列入失信被执行人、重大税收违法案件当事人名单、政府采购严重违法失信行为记录名单情况(由供应商在承诺书中作出声明)。</w:t>
      </w:r>
    </w:p>
    <w:p>
      <w:pPr>
        <w:pStyle w:val="4"/>
        <w:pageBreakBefore w:val="0"/>
        <w:widowControl w:val="0"/>
        <w:kinsoku/>
        <w:wordWrap/>
        <w:overflowPunct/>
        <w:topLinePunct w:val="0"/>
        <w:autoSpaceDE/>
        <w:autoSpaceDN/>
        <w:bidi w:val="0"/>
        <w:adjustRightInd/>
        <w:snapToGrid/>
        <w:spacing w:before="0" w:after="0" w:line="560" w:lineRule="exact"/>
        <w:ind w:left="0" w:firstLine="632" w:firstLineChars="200"/>
        <w:jc w:val="both"/>
        <w:textAlignment w:val="auto"/>
        <w:rPr>
          <w:rFonts w:hint="eastAsia" w:ascii="黑体" w:eastAsia="黑体"/>
          <w:b w:val="0"/>
          <w:kern w:val="0"/>
          <w:sz w:val="32"/>
          <w:szCs w:val="32"/>
          <w:lang w:val="en-US" w:eastAsia="zh-CN"/>
        </w:rPr>
      </w:pPr>
      <w:r>
        <w:rPr>
          <w:rFonts w:hint="eastAsia" w:ascii="黑体" w:eastAsia="黑体"/>
          <w:b w:val="0"/>
          <w:kern w:val="0"/>
          <w:sz w:val="32"/>
          <w:szCs w:val="32"/>
        </w:rPr>
        <w:t>二、</w:t>
      </w:r>
      <w:r>
        <w:rPr>
          <w:rFonts w:hint="eastAsia" w:ascii="黑体" w:eastAsia="黑体"/>
          <w:b w:val="0"/>
          <w:kern w:val="0"/>
          <w:sz w:val="32"/>
          <w:szCs w:val="32"/>
          <w:lang w:val="en-US" w:eastAsia="zh-CN"/>
        </w:rPr>
        <w:t>服务内容及服务要求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lang w:val="en-US" w:eastAsia="zh-CN"/>
        </w:rPr>
        <w:t>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cs="仿宋_GB2312"/>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zh-CN" w:eastAsia="zh-CN" w:bidi="ar-SA"/>
        </w:rPr>
        <w:t>为采购单位</w:t>
      </w:r>
      <w:r>
        <w:rPr>
          <w:rFonts w:hint="eastAsia" w:ascii="仿宋_GB2312" w:hAnsi="仿宋_GB2312" w:eastAsia="仿宋_GB2312" w:cs="仿宋_GB2312"/>
          <w:color w:val="auto"/>
          <w:sz w:val="32"/>
          <w:szCs w:val="32"/>
          <w:lang w:eastAsia="zh-CN"/>
        </w:rPr>
        <w:t>涉法涉诉案件处置、综治维稳等</w:t>
      </w:r>
      <w:r>
        <w:rPr>
          <w:rFonts w:hint="eastAsia" w:ascii="仿宋_GB2312" w:hAnsi="仿宋_GB2312" w:eastAsia="仿宋_GB2312" w:cs="仿宋_GB2312"/>
          <w:b w:val="0"/>
          <w:bCs w:val="0"/>
          <w:kern w:val="2"/>
          <w:sz w:val="32"/>
          <w:szCs w:val="32"/>
          <w:lang w:val="zh-CN" w:eastAsia="zh-CN" w:bidi="ar-SA"/>
        </w:rPr>
        <w:t>工作涉及的</w:t>
      </w:r>
      <w:r>
        <w:rPr>
          <w:rFonts w:hint="eastAsia" w:ascii="仿宋_GB2312" w:hAnsi="仿宋_GB2312" w:eastAsia="仿宋_GB2312" w:cs="仿宋_GB2312"/>
          <w:sz w:val="32"/>
          <w:szCs w:val="32"/>
          <w:lang w:val="zh-CN"/>
        </w:rPr>
        <w:t>法律问题提供法律意见；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zh-CN"/>
        </w:rPr>
        <w:t>对采购单位</w:t>
      </w:r>
      <w:r>
        <w:rPr>
          <w:rFonts w:hint="eastAsia" w:ascii="仿宋_GB2312" w:hAnsi="仿宋_GB2312" w:cs="仿宋_GB2312"/>
          <w:sz w:val="32"/>
          <w:szCs w:val="32"/>
          <w:lang w:val="zh-CN"/>
        </w:rPr>
        <w:t>规范性文件、</w:t>
      </w:r>
      <w:r>
        <w:rPr>
          <w:rFonts w:hint="eastAsia" w:ascii="仿宋_GB2312" w:hAnsi="仿宋_GB2312" w:eastAsia="仿宋_GB2312" w:cs="仿宋_GB2312"/>
          <w:sz w:val="32"/>
          <w:szCs w:val="32"/>
          <w:lang w:val="zh-CN"/>
        </w:rPr>
        <w:t>合同</w:t>
      </w:r>
      <w:r>
        <w:rPr>
          <w:rFonts w:hint="eastAsia" w:ascii="仿宋_GB2312" w:hAnsi="仿宋_GB2312" w:cs="仿宋_GB2312"/>
          <w:sz w:val="32"/>
          <w:szCs w:val="32"/>
          <w:lang w:val="zh-CN"/>
        </w:rPr>
        <w:t>文本等专门事项</w:t>
      </w:r>
      <w:r>
        <w:rPr>
          <w:rFonts w:hint="eastAsia" w:ascii="仿宋_GB2312" w:hAnsi="仿宋_GB2312" w:eastAsia="仿宋_GB2312" w:cs="仿宋_GB2312"/>
          <w:sz w:val="32"/>
          <w:szCs w:val="32"/>
          <w:lang w:val="zh-CN"/>
        </w:rPr>
        <w:t>进行合法性审查；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zh-CN"/>
        </w:rPr>
        <w:t>就采购单位重大决策事项提供法律意见；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sz w:val="32"/>
          <w:szCs w:val="32"/>
          <w:lang w:val="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zh-CN"/>
        </w:rPr>
        <w:t>参与采购单位有关</w:t>
      </w:r>
      <w:r>
        <w:rPr>
          <w:rFonts w:hint="eastAsia" w:ascii="仿宋_GB2312" w:hAnsi="仿宋_GB2312" w:cs="仿宋_GB2312"/>
          <w:sz w:val="32"/>
          <w:szCs w:val="32"/>
          <w:lang w:val="zh-CN"/>
        </w:rPr>
        <w:t>涉</w:t>
      </w:r>
      <w:r>
        <w:rPr>
          <w:rFonts w:hint="eastAsia" w:ascii="仿宋_GB2312" w:hAnsi="仿宋_GB2312" w:eastAsia="仿宋_GB2312" w:cs="仿宋_GB2312"/>
          <w:sz w:val="32"/>
          <w:szCs w:val="32"/>
          <w:lang w:val="zh-CN"/>
        </w:rPr>
        <w:t>法律事务的协商、谈判；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_GB2312" w:hAnsi="楷体_GB2312" w:eastAsia="楷体_GB2312" w:cs="楷体_GB2312"/>
          <w:sz w:val="32"/>
          <w:szCs w:val="32"/>
          <w:highlight w:val="none"/>
          <w:lang w:eastAsia="zh-CN"/>
        </w:rPr>
      </w:pP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zh-CN"/>
        </w:rPr>
        <w:t>处理采购单位委托的其它法律事务。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w:t>
      </w:r>
      <w:r>
        <w:rPr>
          <w:rFonts w:hint="eastAsia" w:ascii="楷体_GB2312" w:hAnsi="楷体_GB2312" w:eastAsia="楷体_GB2312" w:cs="楷体_GB2312"/>
          <w:sz w:val="32"/>
          <w:szCs w:val="32"/>
          <w:highlight w:val="none"/>
          <w:lang w:val="en-US" w:eastAsia="zh-CN"/>
        </w:rPr>
        <w:t>服务</w:t>
      </w:r>
      <w:r>
        <w:rPr>
          <w:rFonts w:hint="eastAsia" w:ascii="楷体_GB2312" w:hAnsi="楷体_GB2312" w:eastAsia="楷体_GB2312" w:cs="楷体_GB2312"/>
          <w:sz w:val="32"/>
          <w:szCs w:val="32"/>
          <w:highlight w:val="none"/>
          <w:lang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1.供应商应向采购单位提供一个5人以上的法律服务团队，团队成员应保持相对稳定。团队负责人需为执业5年以上的专职律师，团队成员中执业两年以上并且熟悉行政法律法规的律师人数不少于2人。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ascii="仿宋_GB2312" w:hAnsi="仿宋_GB2312" w:eastAsia="仿宋_GB2312" w:cs="仿宋_GB2312"/>
          <w:b w:val="0"/>
          <w:bCs w:val="0"/>
          <w:kern w:val="2"/>
          <w:sz w:val="32"/>
          <w:szCs w:val="32"/>
          <w:lang w:val="zh-CN" w:eastAsia="zh-CN" w:bidi="ar-SA"/>
        </w:rPr>
      </w:pPr>
      <w:r>
        <w:rPr>
          <w:rFonts w:hint="eastAsia" w:ascii="仿宋_GB2312" w:hAnsi="仿宋_GB2312" w:cs="仿宋_GB2312"/>
          <w:b w:val="0"/>
          <w:bCs w:val="0"/>
          <w:kern w:val="2"/>
          <w:sz w:val="32"/>
          <w:szCs w:val="32"/>
          <w:lang w:val="en-US" w:eastAsia="zh-CN" w:bidi="ar-SA"/>
        </w:rPr>
        <w:t>2.</w:t>
      </w:r>
      <w:r>
        <w:rPr>
          <w:rFonts w:hint="eastAsia" w:ascii="仿宋_GB2312" w:hAnsi="仿宋_GB2312" w:cs="仿宋_GB2312"/>
          <w:b w:val="0"/>
          <w:bCs w:val="0"/>
          <w:kern w:val="2"/>
          <w:sz w:val="32"/>
          <w:szCs w:val="32"/>
          <w:lang w:val="zh-CN" w:eastAsia="zh-CN" w:bidi="ar-SA"/>
        </w:rPr>
        <w:t>供应商</w:t>
      </w:r>
      <w:r>
        <w:rPr>
          <w:rFonts w:hint="eastAsia" w:ascii="仿宋_GB2312" w:hAnsi="仿宋_GB2312" w:eastAsia="仿宋_GB2312" w:cs="仿宋_GB2312"/>
          <w:b w:val="0"/>
          <w:bCs w:val="0"/>
          <w:kern w:val="2"/>
          <w:sz w:val="32"/>
          <w:szCs w:val="32"/>
          <w:lang w:val="zh-CN" w:eastAsia="zh-CN" w:bidi="ar-SA"/>
        </w:rPr>
        <w:t>须对所提供的工作成果承担总体责任，对所出具的法律意见、法律文书等承担法律责任。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32" w:firstLineChars="200"/>
        <w:jc w:val="both"/>
        <w:textAlignment w:val="auto"/>
        <w:outlineLvl w:val="9"/>
        <w:rPr>
          <w:rFonts w:hint="eastAsia"/>
          <w:lang w:val="en-US" w:eastAsia="zh-CN"/>
        </w:rPr>
      </w:pPr>
      <w:r>
        <w:rPr>
          <w:rFonts w:hint="eastAsia" w:ascii="仿宋_GB2312" w:hAnsi="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zh-CN" w:eastAsia="zh-CN" w:bidi="ar-SA"/>
        </w:rPr>
        <w:t>为本项目提供服务的律师及工作人员应遵守采购单位工作纪律，服从工作安排，且不得泄漏工作中接触的采购单位及第三方的秘密。</w:t>
      </w:r>
    </w:p>
    <w:bookmarkEnd w:id="1"/>
    <w:p>
      <w:pPr>
        <w:pStyle w:val="4"/>
        <w:pageBreakBefore w:val="0"/>
        <w:widowControl w:val="0"/>
        <w:kinsoku/>
        <w:wordWrap/>
        <w:overflowPunct/>
        <w:topLinePunct w:val="0"/>
        <w:autoSpaceDE/>
        <w:autoSpaceDN/>
        <w:bidi w:val="0"/>
        <w:adjustRightInd/>
        <w:snapToGrid/>
        <w:spacing w:before="0" w:after="0" w:line="560" w:lineRule="exact"/>
        <w:ind w:left="0" w:firstLine="632" w:firstLineChars="200"/>
        <w:jc w:val="both"/>
        <w:textAlignment w:val="auto"/>
        <w:rPr>
          <w:rFonts w:ascii="黑体" w:eastAsia="黑体"/>
          <w:b w:val="0"/>
          <w:kern w:val="0"/>
          <w:sz w:val="32"/>
          <w:szCs w:val="32"/>
        </w:rPr>
      </w:pPr>
      <w:bookmarkStart w:id="2" w:name="_Toc128884465"/>
      <w:r>
        <w:rPr>
          <w:rFonts w:hint="eastAsia" w:ascii="黑体" w:eastAsia="黑体"/>
          <w:b w:val="0"/>
          <w:kern w:val="0"/>
          <w:sz w:val="32"/>
          <w:szCs w:val="32"/>
        </w:rPr>
        <w:t>三、</w:t>
      </w:r>
      <w:bookmarkEnd w:id="2"/>
      <w:r>
        <w:rPr>
          <w:rFonts w:hint="eastAsia" w:ascii="黑体" w:eastAsia="黑体"/>
          <w:b w:val="0"/>
          <w:kern w:val="0"/>
          <w:sz w:val="32"/>
          <w:szCs w:val="32"/>
        </w:rPr>
        <w:t>项目</w:t>
      </w:r>
      <w:r>
        <w:rPr>
          <w:rFonts w:hint="eastAsia" w:ascii="黑体" w:eastAsia="黑体"/>
          <w:b w:val="0"/>
          <w:kern w:val="0"/>
          <w:sz w:val="32"/>
          <w:szCs w:val="32"/>
          <w:lang w:eastAsia="zh-CN"/>
        </w:rPr>
        <w:t>报价</w:t>
      </w:r>
      <w:r>
        <w:rPr>
          <w:rFonts w:hint="eastAsia" w:ascii="黑体" w:eastAsia="黑体"/>
          <w:b w:val="0"/>
          <w:kern w:val="0"/>
          <w:sz w:val="32"/>
          <w:szCs w:val="32"/>
        </w:rPr>
        <w:t>要求</w:t>
      </w:r>
    </w:p>
    <w:p>
      <w:pPr>
        <w:pStyle w:val="6"/>
        <w:pageBreakBefore w:val="0"/>
        <w:widowControl w:val="0"/>
        <w:kinsoku/>
        <w:wordWrap/>
        <w:overflowPunct/>
        <w:topLinePunct w:val="0"/>
        <w:autoSpaceDE/>
        <w:autoSpaceDN/>
        <w:bidi w:val="0"/>
        <w:adjustRightInd/>
        <w:snapToGrid/>
        <w:spacing w:before="0" w:after="0" w:line="560" w:lineRule="exact"/>
        <w:ind w:left="0" w:leftChars="0" w:firstLine="632"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sz w:val="32"/>
          <w:szCs w:val="32"/>
          <w14:textFill>
            <w14:solidFill>
              <w14:schemeClr w14:val="tx1"/>
            </w14:solidFill>
          </w14:textFill>
        </w:rPr>
        <w:t>报价方式</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190"/>
        <w:gridCol w:w="292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napToGrid w:val="0"/>
                <w:kern w:val="0"/>
                <w:szCs w:val="21"/>
                <w:lang w:eastAsia="zh-CN"/>
              </w:rPr>
            </w:pPr>
            <w:r>
              <w:rPr>
                <w:rFonts w:hint="eastAsia"/>
                <w:snapToGrid w:val="0"/>
                <w:kern w:val="0"/>
                <w:szCs w:val="21"/>
                <w:lang w:eastAsia="zh-CN"/>
              </w:rPr>
              <w:t>项目报价</w:t>
            </w:r>
          </w:p>
        </w:tc>
        <w:tc>
          <w:tcPr>
            <w:tcW w:w="119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snapToGrid w:val="0"/>
                <w:kern w:val="0"/>
                <w:szCs w:val="21"/>
              </w:rPr>
            </w:pPr>
            <w:r>
              <w:rPr>
                <w:rFonts w:hint="eastAsia"/>
                <w:snapToGrid w:val="0"/>
                <w:kern w:val="0"/>
                <w:szCs w:val="21"/>
              </w:rPr>
              <w:t>单位</w:t>
            </w:r>
          </w:p>
        </w:tc>
        <w:tc>
          <w:tcPr>
            <w:tcW w:w="2920" w:type="dxa"/>
            <w:noWrap w:val="0"/>
            <w:vAlign w:val="center"/>
          </w:tcPr>
          <w:p>
            <w:pPr>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snapToGrid w:val="0"/>
                <w:kern w:val="0"/>
                <w:szCs w:val="21"/>
              </w:rPr>
            </w:pPr>
            <w:r>
              <w:rPr>
                <w:rFonts w:hint="eastAsia"/>
                <w:snapToGrid w:val="0"/>
                <w:kern w:val="0"/>
                <w:szCs w:val="21"/>
              </w:rPr>
              <w:t>服务期限</w:t>
            </w:r>
          </w:p>
        </w:tc>
        <w:tc>
          <w:tcPr>
            <w:tcW w:w="129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snapToGrid w:val="0"/>
                <w:kern w:val="0"/>
                <w:szCs w:val="21"/>
              </w:rPr>
            </w:pPr>
            <w:r>
              <w:rPr>
                <w:rFonts w:hint="eastAsia"/>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497"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szCs w:val="21"/>
                <w:lang w:val="en-US" w:eastAsia="zh-CN"/>
              </w:rPr>
            </w:pPr>
            <w:r>
              <w:rPr>
                <w:rFonts w:hint="eastAsia" w:ascii="仿宋_GB2312" w:eastAsia="仿宋_GB2312"/>
                <w:szCs w:val="21"/>
                <w:lang w:val="en-US" w:eastAsia="zh-CN"/>
              </w:rPr>
              <w:t>100,000</w:t>
            </w:r>
          </w:p>
        </w:tc>
        <w:tc>
          <w:tcPr>
            <w:tcW w:w="1190" w:type="dxa"/>
            <w:noWrap w:val="0"/>
            <w:vAlign w:val="center"/>
          </w:tcPr>
          <w:p>
            <w:pPr>
              <w:pageBreakBefore w:val="0"/>
              <w:widowControl w:val="0"/>
              <w:kinsoku/>
              <w:wordWrap/>
              <w:overflowPunct/>
              <w:topLinePunct w:val="0"/>
              <w:autoSpaceDE/>
              <w:autoSpaceDN/>
              <w:bidi w:val="0"/>
              <w:adjustRightInd/>
              <w:snapToGrid/>
              <w:spacing w:line="560" w:lineRule="exact"/>
              <w:jc w:val="center"/>
              <w:textAlignment w:val="auto"/>
              <w:rPr>
                <w:rFonts w:eastAsia="仿宋_GB2312"/>
                <w:szCs w:val="21"/>
              </w:rPr>
            </w:pPr>
            <w:r>
              <w:rPr>
                <w:rFonts w:hint="eastAsia" w:ascii="仿宋_GB2312" w:eastAsia="仿宋_GB2312"/>
                <w:szCs w:val="21"/>
              </w:rPr>
              <w:t>元</w:t>
            </w:r>
          </w:p>
        </w:tc>
        <w:tc>
          <w:tcPr>
            <w:tcW w:w="2920" w:type="dxa"/>
            <w:noWrap w:val="0"/>
            <w:vAlign w:val="center"/>
          </w:tcPr>
          <w:p>
            <w:pPr>
              <w:pageBreakBefore w:val="0"/>
              <w:widowControl w:val="0"/>
              <w:kinsoku/>
              <w:wordWrap/>
              <w:overflowPunct/>
              <w:topLinePunct w:val="0"/>
              <w:autoSpaceDE/>
              <w:autoSpaceDN/>
              <w:bidi w:val="0"/>
              <w:adjustRightInd/>
              <w:snapToGrid/>
              <w:spacing w:line="560" w:lineRule="exact"/>
              <w:ind w:left="0" w:firstLine="948" w:firstLineChars="300"/>
              <w:jc w:val="both"/>
              <w:textAlignment w:val="auto"/>
              <w:rPr>
                <w:rFonts w:hint="eastAsia" w:ascii="仿宋_GB2312" w:eastAsia="仿宋_GB2312"/>
                <w:szCs w:val="21"/>
                <w:lang w:val="en-US" w:eastAsia="zh-CN"/>
              </w:rPr>
            </w:pPr>
            <w:r>
              <w:rPr>
                <w:rFonts w:hint="eastAsia" w:ascii="仿宋_GB2312" w:eastAsia="仿宋_GB2312"/>
                <w:szCs w:val="21"/>
                <w:lang w:val="en-US" w:eastAsia="zh-CN"/>
              </w:rPr>
              <w:t>1年</w:t>
            </w:r>
          </w:p>
        </w:tc>
        <w:tc>
          <w:tcPr>
            <w:tcW w:w="1290" w:type="dxa"/>
            <w:noWrap w:val="0"/>
            <w:vAlign w:val="center"/>
          </w:tcPr>
          <w:p>
            <w:pPr>
              <w:pageBreakBefore w:val="0"/>
              <w:widowControl w:val="0"/>
              <w:kinsoku/>
              <w:wordWrap/>
              <w:overflowPunct/>
              <w:topLinePunct w:val="0"/>
              <w:autoSpaceDE/>
              <w:autoSpaceDN/>
              <w:bidi w:val="0"/>
              <w:adjustRightInd/>
              <w:snapToGrid/>
              <w:spacing w:line="560" w:lineRule="exact"/>
              <w:ind w:left="0" w:firstLine="632" w:firstLineChars="200"/>
              <w:jc w:val="center"/>
              <w:textAlignment w:val="auto"/>
              <w:rPr>
                <w:rFonts w:ascii="仿宋_GB2312" w:eastAsia="仿宋_GB2312"/>
                <w:szCs w:val="21"/>
              </w:rPr>
            </w:pPr>
          </w:p>
        </w:tc>
      </w:tr>
    </w:tbl>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（二）其他</w:t>
      </w:r>
      <w:r>
        <w:rPr>
          <w:rFonts w:hint="eastAsia" w:ascii="楷体_GB2312" w:hAnsi="楷体_GB2312" w:eastAsia="楷体_GB2312" w:cs="楷体_GB2312"/>
          <w:color w:val="000000"/>
          <w:sz w:val="32"/>
          <w:szCs w:val="32"/>
        </w:rPr>
        <w:t>报价</w:t>
      </w:r>
      <w:r>
        <w:rPr>
          <w:rFonts w:hint="eastAsia" w:ascii="楷体_GB2312" w:hAnsi="楷体_GB2312" w:eastAsia="楷体_GB2312" w:cs="楷体_GB2312"/>
          <w:color w:val="000000"/>
          <w:sz w:val="32"/>
          <w:szCs w:val="32"/>
          <w:lang w:eastAsia="zh-CN"/>
        </w:rPr>
        <w:t>要求</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本项目费用采用包干制，应包括成本、法定税费和管理企业的利润。</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供应商根据成本自行决定报价，但不得以低于其企业成本的报价</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响应供应商的报价不得超过项目需求书规定的控制金额；</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供应商的报价，以</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响应文件中</w:t>
      </w:r>
      <w:r>
        <w:rPr>
          <w:rFonts w:hint="eastAsia" w:ascii="仿宋_GB2312" w:hAnsi="仿宋_GB2312" w:eastAsia="仿宋_GB2312" w:cs="仿宋_GB2312"/>
          <w:color w:val="000000"/>
          <w:sz w:val="32"/>
          <w:szCs w:val="32"/>
        </w:rPr>
        <w:t>提出的单价或总价为依据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应</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本项目需求书及合同条款所列内容中所述的全部，不得以任何理由予以重复；</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供应商应按项目需求书</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所列清单</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项目和数量填报单价</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合价</w:t>
      </w:r>
      <w:r>
        <w:rPr>
          <w:rFonts w:hint="eastAsia" w:ascii="仿宋_GB2312" w:hAnsi="仿宋_GB2312" w:eastAsia="仿宋_GB2312" w:cs="仿宋_GB2312"/>
          <w:color w:val="000000"/>
          <w:sz w:val="32"/>
          <w:szCs w:val="32"/>
          <w:lang w:eastAsia="zh-CN"/>
        </w:rPr>
        <w:t>，除非采购单位</w:t>
      </w:r>
      <w:r>
        <w:rPr>
          <w:rFonts w:hint="eastAsia" w:ascii="仿宋_GB2312" w:hAnsi="仿宋_GB2312" w:eastAsia="仿宋_GB2312" w:cs="仿宋_GB2312"/>
          <w:color w:val="000000"/>
          <w:sz w:val="32"/>
          <w:szCs w:val="32"/>
        </w:rPr>
        <w:t>通过修改项目需求书</w:t>
      </w:r>
      <w:r>
        <w:rPr>
          <w:rFonts w:hint="eastAsia" w:ascii="仿宋_GB2312" w:hAnsi="仿宋_GB2312" w:eastAsia="仿宋_GB2312" w:cs="仿宋_GB2312"/>
          <w:color w:val="000000"/>
          <w:sz w:val="32"/>
          <w:szCs w:val="32"/>
          <w:lang w:eastAsia="zh-CN"/>
        </w:rPr>
        <w:t>或发出澄清公告</w:t>
      </w:r>
      <w:r>
        <w:rPr>
          <w:rFonts w:hint="eastAsia" w:ascii="仿宋_GB2312" w:hAnsi="仿宋_GB2312" w:eastAsia="仿宋_GB2312" w:cs="仿宋_GB2312"/>
          <w:color w:val="000000"/>
          <w:sz w:val="32"/>
          <w:szCs w:val="32"/>
        </w:rPr>
        <w:t>予以更正</w:t>
      </w:r>
      <w:r>
        <w:rPr>
          <w:rFonts w:hint="eastAsia" w:ascii="仿宋_GB2312" w:hAnsi="仿宋_GB2312" w:eastAsia="仿宋_GB2312" w:cs="仿宋_GB2312"/>
          <w:color w:val="000000"/>
          <w:sz w:val="32"/>
          <w:szCs w:val="32"/>
          <w:lang w:eastAsia="zh-CN"/>
        </w:rPr>
        <w:t>；</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供应商一经</w:t>
      </w:r>
      <w:r>
        <w:rPr>
          <w:rFonts w:hint="eastAsia" w:ascii="仿宋_GB2312" w:hAnsi="仿宋_GB2312" w:eastAsia="仿宋_GB2312" w:cs="仿宋_GB2312"/>
          <w:color w:val="000000"/>
          <w:sz w:val="32"/>
          <w:szCs w:val="32"/>
          <w:lang w:eastAsia="zh-CN"/>
        </w:rPr>
        <w:t>确定</w:t>
      </w:r>
      <w:r>
        <w:rPr>
          <w:rFonts w:hint="eastAsia" w:ascii="仿宋_GB2312" w:hAnsi="仿宋_GB2312" w:eastAsia="仿宋_GB2312" w:cs="仿宋_GB2312"/>
          <w:color w:val="000000"/>
          <w:sz w:val="32"/>
          <w:szCs w:val="32"/>
        </w:rPr>
        <w:t>后，</w:t>
      </w:r>
      <w:r>
        <w:rPr>
          <w:rFonts w:hint="eastAsia" w:ascii="仿宋_GB2312" w:hAnsi="仿宋_GB2312" w:eastAsia="仿宋_GB2312" w:cs="仿宋_GB2312"/>
          <w:color w:val="000000"/>
          <w:sz w:val="32"/>
          <w:szCs w:val="32"/>
          <w:lang w:eastAsia="zh-CN"/>
        </w:rPr>
        <w:t>响应文件的报</w:t>
      </w:r>
      <w:r>
        <w:rPr>
          <w:rFonts w:hint="eastAsia" w:ascii="仿宋_GB2312" w:hAnsi="仿宋_GB2312" w:eastAsia="仿宋_GB2312" w:cs="仿宋_GB2312"/>
          <w:color w:val="000000"/>
          <w:sz w:val="32"/>
          <w:szCs w:val="32"/>
        </w:rPr>
        <w:t>价即为该项目的合同总价。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rPr>
      </w:pPr>
      <w:r>
        <w:rPr>
          <w:rFonts w:hint="eastAsia" w:ascii="仿宋_GB2312" w:hAnsi="仿宋_GB2312" w:cs="仿宋_GB2312"/>
          <w:color w:val="000000"/>
          <w:sz w:val="32"/>
          <w:szCs w:val="32"/>
          <w:lang w:val="en-US" w:eastAsia="zh-CN"/>
        </w:rPr>
        <w:t>7</w:t>
      </w:r>
      <w:r>
        <w:rPr>
          <w:rFonts w:hint="eastAsia" w:ascii="仿宋_GB2312" w:hAnsi="仿宋_GB2312" w:eastAsia="仿宋_GB2312" w:cs="仿宋_GB2312"/>
          <w:color w:val="000000"/>
          <w:sz w:val="32"/>
          <w:szCs w:val="32"/>
        </w:rPr>
        <w:t>.本项目不允许挂靠和转包，不接受联合体投标。</w:t>
      </w:r>
    </w:p>
    <w:p>
      <w:pPr>
        <w:pStyle w:val="4"/>
        <w:pageBreakBefore w:val="0"/>
        <w:widowControl w:val="0"/>
        <w:kinsoku/>
        <w:wordWrap/>
        <w:overflowPunct/>
        <w:topLinePunct w:val="0"/>
        <w:autoSpaceDE/>
        <w:autoSpaceDN/>
        <w:bidi w:val="0"/>
        <w:adjustRightInd/>
        <w:snapToGrid/>
        <w:spacing w:before="0" w:after="0" w:line="560" w:lineRule="exact"/>
        <w:ind w:left="0" w:firstLine="632" w:firstLineChars="200"/>
        <w:jc w:val="both"/>
        <w:textAlignment w:val="auto"/>
        <w:rPr>
          <w:rFonts w:hint="eastAsia" w:ascii="CESI黑体-GB2312" w:hAnsi="CESI黑体-GB2312" w:eastAsia="CESI黑体-GB2312" w:cs="CESI黑体-GB2312"/>
          <w:b w:val="0"/>
          <w:kern w:val="0"/>
          <w:sz w:val="32"/>
          <w:szCs w:val="32"/>
          <w:lang w:eastAsia="zh-CN"/>
        </w:rPr>
      </w:pPr>
      <w:r>
        <w:rPr>
          <w:rFonts w:hint="eastAsia" w:ascii="CESI黑体-GB2312" w:hAnsi="CESI黑体-GB2312" w:eastAsia="CESI黑体-GB2312" w:cs="CESI黑体-GB2312"/>
          <w:b w:val="0"/>
          <w:kern w:val="0"/>
          <w:sz w:val="32"/>
          <w:szCs w:val="32"/>
          <w:lang w:eastAsia="zh-CN"/>
        </w:rPr>
        <w:t>四、响应</w:t>
      </w:r>
      <w:r>
        <w:rPr>
          <w:rFonts w:hint="eastAsia" w:ascii="CESI黑体-GB2312" w:hAnsi="CESI黑体-GB2312" w:eastAsia="CESI黑体-GB2312" w:cs="CESI黑体-GB2312"/>
          <w:b w:val="0"/>
          <w:kern w:val="0"/>
          <w:sz w:val="32"/>
          <w:szCs w:val="32"/>
        </w:rPr>
        <w:t>文件</w:t>
      </w:r>
      <w:r>
        <w:rPr>
          <w:rFonts w:hint="eastAsia" w:ascii="CESI黑体-GB2312" w:hAnsi="CESI黑体-GB2312" w:eastAsia="CESI黑体-GB2312" w:cs="CESI黑体-GB2312"/>
          <w:b w:val="0"/>
          <w:kern w:val="0"/>
          <w:sz w:val="32"/>
          <w:szCs w:val="32"/>
          <w:lang w:eastAsia="zh-CN"/>
        </w:rPr>
        <w:t>要求</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w:t>
      </w:r>
      <w:r>
        <w:rPr>
          <w:rFonts w:hint="eastAsia" w:ascii="仿宋_GB2312" w:hAnsi="仿宋_GB2312" w:eastAsia="仿宋_GB2312" w:cs="仿宋_GB2312"/>
          <w:color w:val="000000"/>
          <w:sz w:val="32"/>
          <w:szCs w:val="32"/>
          <w:lang w:val="en-US" w:eastAsia="zh-CN"/>
        </w:rPr>
        <w:t>对响应文件的真实性和有效性负责</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所有资料应该是最新、有效、清晰的，均要加盖响应供应商公章。</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w:t>
      </w:r>
      <w:r>
        <w:rPr>
          <w:rFonts w:hint="eastAsia" w:ascii="仿宋_GB2312" w:hAnsi="仿宋_GB2312" w:eastAsia="仿宋_GB2312" w:cs="仿宋_GB2312"/>
          <w:color w:val="000000"/>
          <w:sz w:val="32"/>
          <w:szCs w:val="32"/>
          <w:lang w:val="en-US" w:eastAsia="zh-CN"/>
        </w:rPr>
        <w:t>所编写的响应文件应包括以下内容：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1.承诺书</w:t>
      </w:r>
      <w:r>
        <w:rPr>
          <w:rFonts w:hint="eastAsia" w:ascii="仿宋_GB2312" w:hAnsi="仿宋_GB2312" w:cs="仿宋_GB2312"/>
          <w:color w:val="000000"/>
          <w:sz w:val="32"/>
          <w:szCs w:val="32"/>
          <w:lang w:val="en-US" w:eastAsia="zh-CN"/>
        </w:rPr>
        <w:t>；</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2.供应商情况介绍（附律所执业许可证正本及副本、律所简介、律所荣誉等）；</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3.项目团队成员情况、执业年限证明（含项目负责人及团队人员情况）；</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法定代表人（负责人）资格证明书</w:t>
      </w:r>
      <w:r>
        <w:rPr>
          <w:rFonts w:hint="eastAsia" w:ascii="仿宋_GB2312" w:hAnsi="仿宋_GB2312" w:eastAsia="仿宋_GB2312" w:cs="仿宋_GB2312"/>
          <w:color w:val="000000"/>
          <w:sz w:val="32"/>
          <w:szCs w:val="32"/>
          <w:lang w:eastAsia="zh-CN"/>
        </w:rPr>
        <w:t>；</w:t>
      </w:r>
      <w:bookmarkStart w:id="3" w:name="_GoBack"/>
      <w:bookmarkEnd w:id="3"/>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5.响应供应商同类项目业绩证明</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（1）为党政机关提供常年法律顾问服务经验；</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（2）为维稳、综治、信访等事项提供法律服务经验；</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（3）为以政府为被申请人的行政复议案件及以政府为一方当事人的行政诉讼、民事诉讼等案件提供法律服务经验；</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6.项目报价方案（含报价依据、报价总额及明细）；</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项目需求书</w:t>
      </w:r>
      <w:r>
        <w:rPr>
          <w:rFonts w:hint="eastAsia" w:ascii="仿宋_GB2312" w:hAnsi="仿宋_GB2312" w:eastAsia="仿宋_GB2312" w:cs="仿宋_GB2312"/>
          <w:color w:val="000000"/>
          <w:sz w:val="32"/>
          <w:szCs w:val="32"/>
        </w:rPr>
        <w:t>要求的</w:t>
      </w:r>
      <w:r>
        <w:rPr>
          <w:rFonts w:hint="eastAsia" w:ascii="仿宋_GB2312" w:hAnsi="仿宋_GB2312" w:eastAsia="仿宋_GB2312" w:cs="仿宋_GB2312"/>
          <w:color w:val="000000"/>
          <w:sz w:val="32"/>
          <w:szCs w:val="32"/>
          <w:lang w:eastAsia="zh-CN"/>
        </w:rPr>
        <w:t>其他</w:t>
      </w:r>
      <w:r>
        <w:rPr>
          <w:rFonts w:hint="eastAsia" w:ascii="仿宋_GB2312" w:hAnsi="仿宋_GB2312" w:eastAsia="仿宋_GB2312" w:cs="仿宋_GB2312"/>
          <w:color w:val="000000"/>
          <w:sz w:val="32"/>
          <w:szCs w:val="32"/>
        </w:rPr>
        <w:t>内容及</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供应商认为需要补充的内容</w:t>
      </w:r>
      <w:r>
        <w:rPr>
          <w:rFonts w:hint="eastAsia" w:ascii="仿宋_GB2312" w:hAnsi="仿宋_GB2312" w:eastAsia="仿宋_GB2312" w:cs="仿宋_GB2312"/>
          <w:color w:val="000000"/>
          <w:sz w:val="32"/>
          <w:szCs w:val="32"/>
          <w:lang w:val="en-US" w:eastAsia="zh-CN"/>
        </w:rPr>
        <w:t>。</w:t>
      </w:r>
    </w:p>
    <w:p>
      <w:pPr>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黑体" w:hAnsi="黑体" w:eastAsia="黑体" w:cs="仿宋_GB2312"/>
          <w:bCs/>
          <w:sz w:val="32"/>
          <w:szCs w:val="28"/>
          <w:lang w:eastAsia="zh-CN"/>
        </w:rPr>
      </w:pPr>
      <w:r>
        <w:rPr>
          <w:rFonts w:hint="eastAsia" w:ascii="黑体" w:hAnsi="黑体" w:eastAsia="黑体" w:cs="仿宋_GB2312"/>
          <w:bCs/>
          <w:sz w:val="32"/>
          <w:szCs w:val="28"/>
          <w:lang w:eastAsia="zh-CN"/>
        </w:rPr>
        <w:t>五、其他事项</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联系人：陈女士</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联系方式：22185932</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联系地址：深圳市罗湖区罗湖商务中心2122室</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罗湖区委政法委</w:t>
      </w:r>
    </w:p>
    <w:p>
      <w:pPr>
        <w:pStyle w:val="6"/>
        <w:pageBreakBefore w:val="0"/>
        <w:widowControl w:val="0"/>
        <w:kinsoku/>
        <w:wordWrap/>
        <w:overflowPunct/>
        <w:topLinePunct w:val="0"/>
        <w:autoSpaceDE/>
        <w:autoSpaceDN/>
        <w:bidi w:val="0"/>
        <w:adjustRightInd/>
        <w:snapToGrid/>
        <w:spacing w:before="0" w:after="0" w:line="560" w:lineRule="exact"/>
        <w:ind w:left="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2023年1月11日</w:t>
      </w:r>
    </w:p>
    <w:p>
      <w:pPr>
        <w:rPr>
          <w:rFonts w:hint="eastAsia" w:ascii="仿宋_GB2312" w:hAnsi="仿宋_GB2312" w:eastAsia="仿宋_GB2312" w:cs="仿宋_GB2312"/>
          <w:sz w:val="32"/>
          <w:szCs w:val="32"/>
        </w:rPr>
      </w:pPr>
    </w:p>
    <w:sectPr>
      <w:footerReference r:id="rId3" w:type="default"/>
      <w:footerReference r:id="rId4" w:type="even"/>
      <w:pgSz w:w="11906" w:h="16838"/>
      <w:pgMar w:top="1814" w:right="1474" w:bottom="1814" w:left="1587" w:header="851" w:footer="992" w:gutter="0"/>
      <w:pgNumType w:fmt="numberInDash"/>
      <w:cols w:space="0" w:num="1"/>
      <w:rtlGutter w:val="0"/>
      <w:docGrid w:type="linesAndChars" w:linePitch="50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decorative"/>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5"/>
                            </w:rPr>
                          </w:pPr>
                          <w:r>
                            <w:rPr>
                              <w:rFonts w:hint="eastAsia" w:ascii="仿宋_GB2312" w:hAnsi="仿宋_GB2312" w:eastAsia="仿宋_GB2312" w:cs="仿宋_GB2312"/>
                              <w:sz w:val="28"/>
                              <w:szCs w:val="28"/>
                            </w:rPr>
                            <w:fldChar w:fldCharType="begin"/>
                          </w:r>
                          <w:r>
                            <w:rPr>
                              <w:rStyle w:val="15"/>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Style w:val="15"/>
                      </w:rPr>
                    </w:pPr>
                    <w:r>
                      <w:rPr>
                        <w:rFonts w:hint="eastAsia" w:ascii="仿宋_GB2312" w:hAnsi="仿宋_GB2312" w:eastAsia="仿宋_GB2312" w:cs="仿宋_GB2312"/>
                        <w:sz w:val="28"/>
                        <w:szCs w:val="28"/>
                      </w:rPr>
                      <w:fldChar w:fldCharType="begin"/>
                    </w:r>
                    <w:r>
                      <w:rPr>
                        <w:rStyle w:val="15"/>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5"/>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5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DF66EE"/>
    <w:rsid w:val="1FEFC23F"/>
    <w:rsid w:val="3E7FFBE7"/>
    <w:rsid w:val="4A1947CF"/>
    <w:rsid w:val="4DFF7E1E"/>
    <w:rsid w:val="53BC8EBA"/>
    <w:rsid w:val="5BFAA530"/>
    <w:rsid w:val="5DBBE56A"/>
    <w:rsid w:val="77AFE66F"/>
    <w:rsid w:val="7CF65260"/>
    <w:rsid w:val="7DADF176"/>
    <w:rsid w:val="7FB50552"/>
    <w:rsid w:val="7FDF9DF6"/>
    <w:rsid w:val="7FF7B2C5"/>
    <w:rsid w:val="7FF7B401"/>
    <w:rsid w:val="7FFB668F"/>
    <w:rsid w:val="AD5FA5B6"/>
    <w:rsid w:val="BAB9472C"/>
    <w:rsid w:val="BF7DA414"/>
    <w:rsid w:val="EACE5584"/>
    <w:rsid w:val="ED8E61D4"/>
    <w:rsid w:val="EFFE58AD"/>
    <w:rsid w:val="F6DD4452"/>
    <w:rsid w:val="F7E87B10"/>
    <w:rsid w:val="FBDEA8CD"/>
    <w:rsid w:val="FBF3D138"/>
    <w:rsid w:val="FBFFACA1"/>
    <w:rsid w:val="FE3FBCCC"/>
    <w:rsid w:val="FFEFCED8"/>
    <w:rsid w:val="FFF8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9"/>
    <w:pPr>
      <w:keepNext/>
      <w:keepLines/>
      <w:outlineLvl w:val="0"/>
    </w:pPr>
    <w:rPr>
      <w:rFonts w:eastAsia="黑体"/>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5"/>
    <w:next w:val="1"/>
    <w:qFormat/>
    <w:uiPriority w:val="0"/>
    <w:pPr>
      <w:spacing w:before="260" w:after="260" w:line="240" w:lineRule="auto"/>
      <w:outlineLvl w:val="2"/>
    </w:pPr>
    <w:rPr>
      <w:rFonts w:ascii="宋体" w:hAnsi="宋体" w:eastAsia="宋体" w:cs="宋体"/>
      <w:bCs w:val="0"/>
      <w:szCs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Normal Indent"/>
    <w:basedOn w:val="1"/>
    <w:next w:val="1"/>
    <w:semiHidden/>
    <w:unhideWhenUsed/>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4"/>
      <w:lang w:val="en-US" w:eastAsia="zh-CN" w:bidi="ar"/>
    </w:rPr>
  </w:style>
  <w:style w:type="paragraph" w:styleId="7">
    <w:name w:val="Body Text Indent"/>
    <w:basedOn w:val="1"/>
    <w:semiHidden/>
    <w:unhideWhenUsed/>
    <w:qFormat/>
    <w:uiPriority w:val="0"/>
    <w:pPr>
      <w:spacing w:after="120" w:afterLines="0" w:afterAutospacing="0"/>
      <w:ind w:left="420" w:leftChars="200"/>
    </w:pPr>
  </w:style>
  <w:style w:type="paragraph" w:styleId="8">
    <w:name w:val="Plain Text"/>
    <w:basedOn w:val="1"/>
    <w:qFormat/>
    <w:uiPriority w:val="0"/>
    <w:pPr>
      <w:widowControl w:val="0"/>
      <w:adjustRightInd w:val="0"/>
      <w:spacing w:line="500" w:lineRule="exact"/>
      <w:ind w:firstLine="200" w:firstLineChars="200"/>
      <w:jc w:val="both"/>
    </w:pPr>
    <w:rPr>
      <w:rFonts w:ascii="宋体" w:hAnsi="Courier New" w:eastAsia="宋体" w:cs="Courier New"/>
      <w:color w:val="000000"/>
      <w:kern w:val="2"/>
      <w:sz w:val="21"/>
      <w:szCs w:val="21"/>
      <w:lang w:val="en-US" w:eastAsia="zh-CN" w:bidi="ar-SA"/>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Body Text First Indent 2"/>
    <w:basedOn w:val="7"/>
    <w:semiHidden/>
    <w:unhideWhenUsed/>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bidi="ar"/>
    </w:rPr>
  </w:style>
  <w:style w:type="character" w:styleId="15">
    <w:name w:val="page number"/>
    <w:basedOn w:val="14"/>
    <w:qFormat/>
    <w:uiPriority w:val="0"/>
  </w:style>
  <w:style w:type="paragraph" w:customStyle="1" w:styleId="16">
    <w:name w:val="_Style 3"/>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zfw</cp:lastModifiedBy>
  <dcterms:modified xsi:type="dcterms:W3CDTF">2023-01-11T15:26:02Z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