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深圳市罗湖区建设工程监管和住房保障中心（以下简称“建住中心”）拟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自行采购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Hans"/>
        </w:rPr>
        <w:t>罗湖区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2022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-2023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年度建筑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工地安全生产大讲堂服务单位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。采购需求如下：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  <w:t>一、项目名称：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罗湖区2022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-2023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年度建筑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工地安全生产大讲堂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服务采购。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  <w:t>二、项目金额：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服务费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采取合同包干制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。服务控制总价不超过人民币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4.5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  <w:t>二、服务期限：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合同签订之日起-202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年12月31日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  <w:t>三、采购形式。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服务类自行采购。在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  <w:t>深圳交易集团罗湖分公司采购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服务平台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“自行采购模块”，按照“简易程序”方式进行采购。供应商范围通过“系统注册供应商投标响应方式”选择；定标方式采取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竞价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定标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  <w:t>四、资质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Hans"/>
        </w:rPr>
        <w:t>要求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  <w:t>必须是符合国家要求的具有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安全类或咨询类、职业培训类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  <w:t>资质的独立法人,具有企业法人资格并有有效的营业执照；其委派的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授课专家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  <w:t>须持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有副高级或以上相关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  <w:t>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格证书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</w:rPr>
        <w:t>五、投标响应。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  <w:t>参与投标响应的单位需编制采购投标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文件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  <w:t>并盖章扫描上传至采购服务平台，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投标文件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  <w:t>包括但不限于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投标报价、企业营业执照、企业资质等相关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</w:rPr>
        <w:t>佐证材料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并将纸质材料盖章扫描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</w:rPr>
        <w:t>上传到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交易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</w:rPr>
        <w:t>平台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  <w:t>六、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服务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  <w:t>内容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第三方专业机构安排专家授课，采取线上、线下培训相结合的方式开展。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原则上每个月开展一次，开展大讲堂培训的次数不少于合同签订后的自然月个数，另中心可根据实际工作需要，在此基础上相应增加培训次数，增加的次数不超过3次。具体培训时间及次数由中心根据实际工作需要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right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深圳市罗湖区建设工程监管和住房保障中心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（联系人：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刘工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  <w:t>，联系电话：25401446）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2022-09-19T01:28:52Z</dcterms:created>
  <dc:creator>admin</dc:creator>
  <cp:lastModifiedBy>邓煦敏</cp:lastModifiedBy>
  <dcterms:modified xsi:type="dcterms:W3CDTF">2022-09-19T01:29:04Z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