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after="1134"/>
        <w:jc w:val="center"/>
        <w:outlineLvl w:val="1"/>
        <w:rPr>
          <w:rFonts w:ascii="黑体" w:hAnsi="黑体" w:eastAsia="黑体"/>
          <w:sz w:val="40"/>
          <w:szCs w:val="40"/>
        </w:rPr>
      </w:pPr>
      <w:bookmarkStart w:id="0" w:name="_Toc194467275"/>
      <w:r>
        <w:rPr>
          <w:rFonts w:hint="eastAsia" w:ascii="黑体" w:hAnsi="黑体" w:eastAsia="黑体"/>
          <w:sz w:val="40"/>
          <w:szCs w:val="40"/>
        </w:rPr>
        <w:t>关键</w:t>
      </w:r>
      <w:r>
        <w:rPr>
          <w:rFonts w:ascii="黑体" w:hAnsi="黑体" w:eastAsia="黑体"/>
          <w:sz w:val="40"/>
          <w:szCs w:val="40"/>
        </w:rPr>
        <w:t>信息</w:t>
      </w:r>
    </w:p>
    <w:tbl>
      <w:tblPr>
        <w:tblStyle w:val="41"/>
        <w:tblW w:w="7938" w:type="dxa"/>
        <w:jc w:val="center"/>
        <w:tblCellSpacing w:w="0" w:type="dxa"/>
        <w:tblInd w:w="0" w:type="dxa"/>
        <w:tblLayout w:type="fixed"/>
        <w:tblCellMar>
          <w:top w:w="45" w:type="dxa"/>
          <w:left w:w="45" w:type="dxa"/>
          <w:bottom w:w="45" w:type="dxa"/>
          <w:right w:w="45" w:type="dxa"/>
        </w:tblCellMar>
      </w:tblPr>
      <w:tblGrid>
        <w:gridCol w:w="2722"/>
        <w:gridCol w:w="5216"/>
      </w:tblGrid>
      <w:tr>
        <w:tblPrEx>
          <w:tblLayout w:type="fixed"/>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项目编号：</w:t>
            </w:r>
          </w:p>
        </w:tc>
        <w:tc>
          <w:tcPr>
            <w:tcW w:w="5216" w:type="dxa"/>
            <w:vAlign w:val="center"/>
          </w:tcPr>
          <w:p>
            <w:pPr>
              <w:jc w:val="left"/>
              <w:rPr>
                <w:sz w:val="30"/>
                <w:szCs w:val="30"/>
              </w:rPr>
            </w:pPr>
            <w:r>
              <w:rPr>
                <w:rFonts w:hint="eastAsia"/>
                <w:sz w:val="30"/>
                <w:szCs w:val="30"/>
              </w:rPr>
              <w:t>ZXCG2020206477</w:t>
            </w:r>
          </w:p>
        </w:tc>
      </w:tr>
      <w:tr>
        <w:tblPrEx>
          <w:tblLayout w:type="fixed"/>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项目名称：</w:t>
            </w:r>
          </w:p>
        </w:tc>
        <w:tc>
          <w:tcPr>
            <w:tcW w:w="5216" w:type="dxa"/>
            <w:vAlign w:val="center"/>
          </w:tcPr>
          <w:p>
            <w:pPr>
              <w:jc w:val="left"/>
              <w:rPr>
                <w:sz w:val="30"/>
                <w:szCs w:val="30"/>
              </w:rPr>
            </w:pPr>
            <w:r>
              <w:rPr>
                <w:rFonts w:hint="eastAsia"/>
                <w:sz w:val="30"/>
                <w:szCs w:val="30"/>
              </w:rPr>
              <w:t>便携式冲击波治疗仪、脊柱减压治疗系统</w:t>
            </w:r>
          </w:p>
        </w:tc>
      </w:tr>
      <w:tr>
        <w:tblPrEx>
          <w:tblLayout w:type="fixed"/>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包号：</w:t>
            </w:r>
          </w:p>
        </w:tc>
        <w:tc>
          <w:tcPr>
            <w:tcW w:w="5216" w:type="dxa"/>
            <w:vAlign w:val="center"/>
          </w:tcPr>
          <w:p>
            <w:pPr>
              <w:jc w:val="left"/>
              <w:rPr>
                <w:sz w:val="30"/>
                <w:szCs w:val="30"/>
              </w:rPr>
            </w:pPr>
            <w:r>
              <w:rPr>
                <w:sz w:val="30"/>
                <w:szCs w:val="30"/>
              </w:rPr>
              <w:t>A</w:t>
            </w:r>
          </w:p>
        </w:tc>
      </w:tr>
      <w:tr>
        <w:tblPrEx>
          <w:tblLayout w:type="fixed"/>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项目类型：</w:t>
            </w:r>
          </w:p>
        </w:tc>
        <w:tc>
          <w:tcPr>
            <w:tcW w:w="5216" w:type="dxa"/>
            <w:vAlign w:val="center"/>
          </w:tcPr>
          <w:p>
            <w:pPr>
              <w:jc w:val="left"/>
              <w:rPr>
                <w:sz w:val="30"/>
                <w:szCs w:val="30"/>
              </w:rPr>
            </w:pPr>
            <w:r>
              <w:rPr>
                <w:sz w:val="30"/>
                <w:szCs w:val="30"/>
              </w:rPr>
              <w:t>货物类</w:t>
            </w:r>
          </w:p>
        </w:tc>
      </w:tr>
      <w:tr>
        <w:tblPrEx>
          <w:tblLayout w:type="fixed"/>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采购</w:t>
            </w:r>
            <w:r>
              <w:rPr>
                <w:rFonts w:hint="eastAsia"/>
                <w:sz w:val="30"/>
                <w:szCs w:val="30"/>
              </w:rPr>
              <w:t>类型</w:t>
            </w:r>
            <w:r>
              <w:rPr>
                <w:sz w:val="30"/>
                <w:szCs w:val="30"/>
              </w:rPr>
              <w:t>：</w:t>
            </w:r>
          </w:p>
        </w:tc>
        <w:tc>
          <w:tcPr>
            <w:tcW w:w="5216" w:type="dxa"/>
            <w:vAlign w:val="center"/>
          </w:tcPr>
          <w:p>
            <w:pPr>
              <w:jc w:val="left"/>
              <w:rPr>
                <w:sz w:val="30"/>
                <w:szCs w:val="30"/>
              </w:rPr>
            </w:pPr>
            <w:r>
              <w:rPr>
                <w:rFonts w:hint="eastAsia"/>
                <w:sz w:val="30"/>
                <w:szCs w:val="30"/>
              </w:rPr>
              <w:t>自行采购</w:t>
            </w:r>
          </w:p>
        </w:tc>
      </w:tr>
      <w:tr>
        <w:tblPrEx>
          <w:tblLayout w:type="fixed"/>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货币类型：</w:t>
            </w:r>
          </w:p>
        </w:tc>
        <w:tc>
          <w:tcPr>
            <w:tcW w:w="5216" w:type="dxa"/>
            <w:vAlign w:val="center"/>
          </w:tcPr>
          <w:p>
            <w:pPr>
              <w:jc w:val="left"/>
              <w:rPr>
                <w:sz w:val="30"/>
                <w:szCs w:val="30"/>
              </w:rPr>
            </w:pPr>
            <w:r>
              <w:rPr>
                <w:sz w:val="30"/>
                <w:szCs w:val="30"/>
              </w:rPr>
              <w:t>人民币</w:t>
            </w:r>
          </w:p>
        </w:tc>
      </w:tr>
      <w:tr>
        <w:tblPrEx>
          <w:tblLayout w:type="fixed"/>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评标方法：</w:t>
            </w:r>
          </w:p>
        </w:tc>
        <w:tc>
          <w:tcPr>
            <w:tcW w:w="5216" w:type="dxa"/>
            <w:vAlign w:val="center"/>
          </w:tcPr>
          <w:p>
            <w:pPr>
              <w:jc w:val="left"/>
              <w:rPr>
                <w:sz w:val="30"/>
                <w:szCs w:val="30"/>
              </w:rPr>
            </w:pPr>
            <w:r>
              <w:rPr>
                <w:sz w:val="30"/>
                <w:szCs w:val="30"/>
              </w:rPr>
              <w:t>综合评分法</w:t>
            </w:r>
          </w:p>
        </w:tc>
      </w:tr>
    </w:tbl>
    <w:p>
      <w:pPr>
        <w:pStyle w:val="32"/>
        <w:spacing w:after="1134"/>
        <w:jc w:val="center"/>
        <w:outlineLvl w:val="1"/>
        <w:rPr>
          <w:rFonts w:ascii="黑体" w:hAnsi="黑体" w:eastAsia="黑体"/>
          <w:sz w:val="40"/>
          <w:szCs w:val="40"/>
        </w:rPr>
      </w:pPr>
      <w:r>
        <w:rPr>
          <w:rFonts w:hint="eastAsia" w:ascii="黑体" w:hAnsi="黑体" w:eastAsia="黑体"/>
          <w:sz w:val="40"/>
          <w:szCs w:val="40"/>
        </w:rPr>
        <w:t>资格性审查表</w:t>
      </w:r>
    </w:p>
    <w:tbl>
      <w:tblPr>
        <w:tblStyle w:val="41"/>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sz w:val="28"/>
                <w:szCs w:val="28"/>
              </w:rPr>
            </w:pPr>
            <w:r>
              <w:rPr>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供应商不具备采购文件所列的资格要求，或未提交相应的资格证明资料（详见第一册的第一章采购公告4.应答供应商资格要求），或采购文件规定的其他</w:t>
            </w:r>
            <w:r>
              <w:rPr>
                <w:rFonts w:hint="eastAsia"/>
                <w:szCs w:val="21"/>
              </w:rPr>
              <w:t>投标无效</w:t>
            </w:r>
            <w:r>
              <w:rPr>
                <w:szCs w:val="21"/>
              </w:rPr>
              <w:t>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2</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不接受联合体应答；</w:t>
            </w:r>
          </w:p>
        </w:tc>
      </w:tr>
    </w:tbl>
    <w:p>
      <w:pPr>
        <w:pStyle w:val="32"/>
        <w:spacing w:before="280" w:after="1134"/>
        <w:jc w:val="center"/>
        <w:outlineLvl w:val="1"/>
        <w:rPr>
          <w:rFonts w:ascii="黑体" w:hAnsi="黑体" w:eastAsia="黑体"/>
          <w:sz w:val="40"/>
          <w:szCs w:val="40"/>
        </w:rPr>
      </w:pPr>
      <w:r>
        <w:rPr>
          <w:rFonts w:hint="eastAsia" w:ascii="黑体" w:hAnsi="黑体" w:eastAsia="黑体"/>
          <w:sz w:val="40"/>
          <w:szCs w:val="40"/>
        </w:rPr>
        <w:t>符合性审查表</w:t>
      </w:r>
    </w:p>
    <w:tbl>
      <w:tblPr>
        <w:tblStyle w:val="41"/>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sz w:val="28"/>
                <w:szCs w:val="28"/>
              </w:rPr>
            </w:pPr>
            <w:r>
              <w:rPr>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将一个包或一个标段的内容拆开应答；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2</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采购文件未规定允许有替代方案时，对同一货物应答时，提供两套或两套以上的应答方案；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3</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应答总价高于项目预算金额的；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4</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rFonts w:hint="eastAsia"/>
                <w:color w:val="000000"/>
              </w:rPr>
              <w:t>评标委员会认为投标供应商的报价明显低于其他通过符合性审查投标供应商的报价，有可能影响服务质量或者不能诚信履约的，应当要求其在评标现场合理的时间内提供书面说明，必要时提交相关证明材料；投标供应商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5</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同一项目出现两个及以上总报价，</w:t>
            </w:r>
            <w:r>
              <w:rPr>
                <w:rFonts w:hint="eastAsia"/>
                <w:szCs w:val="21"/>
              </w:rPr>
              <w:t>且根据招标文件第三册第六章“</w:t>
            </w:r>
            <w:r>
              <w:rPr>
                <w:szCs w:val="21"/>
              </w:rPr>
              <w:t>15</w:t>
            </w:r>
            <w:r>
              <w:rPr>
                <w:rFonts w:hint="eastAsia"/>
                <w:szCs w:val="21"/>
              </w:rPr>
              <w:t>．错误的修正”，仍</w:t>
            </w:r>
            <w:r>
              <w:rPr>
                <w:szCs w:val="21"/>
              </w:rPr>
              <w:t>无法确定哪个是有效总报价；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6</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供应商的报价低于其成本，且又不提供成本说明及相关证明材料的；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7</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应答文件载明的采购项目完成（交货）期限超过采购文件规定的期限；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8</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所投产品、服务、工程在质量、技术、方案等方面没有实质性满足采购文件要求的（是否实质性满足采购文件要求，由评审委员会来做出评判）；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color w:val="000000"/>
              </w:rPr>
            </w:pPr>
            <w:r>
              <w:rPr>
                <w:color w:val="000000"/>
              </w:rPr>
              <w:t>9</w:t>
            </w:r>
          </w:p>
        </w:tc>
        <w:tc>
          <w:tcPr>
            <w:tcW w:w="8278" w:type="dxa"/>
            <w:tcBorders>
              <w:top w:val="single" w:color="000000" w:sz="8" w:space="0"/>
              <w:left w:val="single" w:color="000000" w:sz="8" w:space="0"/>
              <w:bottom w:val="single" w:color="000000" w:sz="8" w:space="0"/>
              <w:right w:val="single" w:color="000000" w:sz="8" w:space="0"/>
            </w:tcBorders>
          </w:tcPr>
          <w:p>
            <w:pPr>
              <w:jc w:val="left"/>
              <w:rPr>
                <w:color w:val="000000"/>
              </w:rPr>
            </w:pPr>
            <w:r>
              <w:rPr>
                <w:rFonts w:hint="eastAsia"/>
                <w:color w:val="000000"/>
              </w:rPr>
              <w:t>对招标文件中带★号条款的响应为负偏离的；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10</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未按照采购文件规定的样式及要求填写“应答承诺书”或“法定代表人资格证明书”或“应答文件签署授权委托书”，或详细填写项目“分项报价清单”；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11</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应答报价有严重缺漏项目；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12</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应答产品数量有严重缺漏项目；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13</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与其他供应商的应答文件存在异常雷同现象的；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14</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rFonts w:hint="eastAsia"/>
                <w:szCs w:val="21"/>
              </w:rPr>
              <w:t>未按要求提供证明材料或提供的是部分证明材料，或提供不清晰的原件扫描件；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1</w:t>
            </w:r>
            <w:r>
              <w:rPr>
                <w:szCs w:val="21"/>
              </w:rPr>
              <w:t>5</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rFonts w:hint="eastAsia"/>
                <w:szCs w:val="21"/>
              </w:rPr>
              <w:t>出现≥5条条款《技术规格偏离表》填写不明或不实的情况。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1</w:t>
            </w:r>
            <w:r>
              <w:rPr>
                <w:szCs w:val="21"/>
              </w:rPr>
              <w:t>6</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rFonts w:hint="eastAsia"/>
                <w:szCs w:val="21"/>
              </w:rPr>
              <w:t>法律、法规规定的其他情形。</w:t>
            </w:r>
          </w:p>
        </w:tc>
      </w:tr>
    </w:tbl>
    <w:p>
      <w:pPr>
        <w:pStyle w:val="32"/>
        <w:spacing w:after="1134"/>
        <w:jc w:val="center"/>
        <w:outlineLvl w:val="1"/>
        <w:rPr>
          <w:rFonts w:ascii="黑体" w:hAnsi="黑体" w:eastAsia="黑体"/>
          <w:sz w:val="40"/>
          <w:szCs w:val="40"/>
        </w:rPr>
      </w:pPr>
      <w:r>
        <w:rPr>
          <w:rFonts w:hint="eastAsia" w:ascii="黑体" w:hAnsi="黑体" w:eastAsia="黑体"/>
          <w:sz w:val="40"/>
          <w:szCs w:val="40"/>
        </w:rPr>
        <w:t>评标信息</w:t>
      </w:r>
    </w:p>
    <w:tbl>
      <w:tblPr>
        <w:tblStyle w:val="41"/>
        <w:tblW w:w="9072" w:type="dxa"/>
        <w:jc w:val="center"/>
        <w:tblCellSpacing w:w="0" w:type="dxa"/>
        <w:tblInd w:w="0" w:type="dxa"/>
        <w:tblLayout w:type="fixed"/>
        <w:tblCellMar>
          <w:top w:w="45" w:type="dxa"/>
          <w:left w:w="45" w:type="dxa"/>
          <w:bottom w:w="45" w:type="dxa"/>
          <w:right w:w="45" w:type="dxa"/>
        </w:tblCellMar>
      </w:tblPr>
      <w:tblGrid>
        <w:gridCol w:w="8692"/>
        <w:gridCol w:w="380"/>
      </w:tblGrid>
      <w:tr>
        <w:tblPrEx>
          <w:tblLayout w:type="fixed"/>
          <w:tblCellMar>
            <w:top w:w="45" w:type="dxa"/>
            <w:left w:w="45" w:type="dxa"/>
            <w:bottom w:w="45" w:type="dxa"/>
            <w:right w:w="45" w:type="dxa"/>
          </w:tblCellMar>
        </w:tblPrEx>
        <w:trPr>
          <w:tblCellSpacing w:w="0" w:type="dxa"/>
          <w:jc w:val="center"/>
        </w:trPr>
        <w:tc>
          <w:tcPr>
            <w:tcW w:w="8692" w:type="dxa"/>
            <w:tcBorders>
              <w:top w:val="nil"/>
              <w:left w:val="nil"/>
              <w:bottom w:val="nil"/>
              <w:right w:val="nil"/>
            </w:tcBorders>
            <w:vAlign w:val="center"/>
          </w:tcPr>
          <w:p>
            <w:pPr>
              <w:rPr>
                <w:rFonts w:ascii="宋体" w:hAnsi="宋体"/>
                <w:b/>
                <w:bCs/>
                <w:sz w:val="24"/>
              </w:rPr>
            </w:pPr>
            <w:r>
              <w:rPr>
                <w:b/>
                <w:bCs/>
              </w:rPr>
              <w:t>评标方法：综合评分法</w:t>
            </w:r>
          </w:p>
        </w:tc>
        <w:tc>
          <w:tcPr>
            <w:tcW w:w="380" w:type="dxa"/>
            <w:tcBorders>
              <w:top w:val="nil"/>
              <w:left w:val="nil"/>
              <w:bottom w:val="nil"/>
              <w:right w:val="nil"/>
            </w:tcBorders>
            <w:vAlign w:val="center"/>
          </w:tcPr>
          <w:p>
            <w:pPr>
              <w:rPr>
                <w:b/>
                <w:bCs/>
              </w:rPr>
            </w:pPr>
          </w:p>
        </w:tc>
      </w:tr>
      <w:tr>
        <w:tblPrEx>
          <w:tblLayout w:type="fixed"/>
          <w:tblCellMar>
            <w:top w:w="45" w:type="dxa"/>
            <w:left w:w="45" w:type="dxa"/>
            <w:bottom w:w="45" w:type="dxa"/>
            <w:right w:w="45" w:type="dxa"/>
          </w:tblCellMar>
        </w:tblPrEx>
        <w:trPr>
          <w:tblCellSpacing w:w="0" w:type="dxa"/>
          <w:jc w:val="center"/>
        </w:trPr>
        <w:tc>
          <w:tcPr>
            <w:tcW w:w="9072" w:type="dxa"/>
            <w:gridSpan w:val="2"/>
            <w:tcBorders>
              <w:top w:val="nil"/>
              <w:left w:val="nil"/>
              <w:bottom w:val="nil"/>
              <w:right w:val="nil"/>
            </w:tcBorders>
            <w:vAlign w:val="center"/>
          </w:tcPr>
          <w:p>
            <w:pPr>
              <w:spacing w:line="60" w:lineRule="auto"/>
              <w:rPr>
                <w:rFonts w:ascii="仿宋_GB2312" w:eastAsia="仿宋_GB2312"/>
                <w:sz w:val="28"/>
                <w:szCs w:val="28"/>
              </w:rPr>
            </w:pPr>
            <w:r>
              <w:rPr>
                <w:rFonts w:hint="eastAsia"/>
                <w:color w:val="FF0000"/>
              </w:rPr>
              <w:t>价格分计算公式=(最低价/应答报价)×B（B：应答报价最高分值）</w:t>
            </w:r>
          </w:p>
        </w:tc>
      </w:tr>
    </w:tbl>
    <w:p>
      <w:pPr>
        <w:spacing w:after="1134"/>
        <w:rPr>
          <w:vanish/>
        </w:rPr>
      </w:pPr>
    </w:p>
    <w:tbl>
      <w:tblPr>
        <w:tblStyle w:val="41"/>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2835"/>
        <w:gridCol w:w="681"/>
        <w:gridCol w:w="41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b/>
                <w:bCs/>
                <w:sz w:val="24"/>
              </w:rPr>
            </w:pPr>
            <w:r>
              <w:rPr>
                <w:b/>
                <w:bCs/>
              </w:rPr>
              <w:t>序号</w:t>
            </w:r>
          </w:p>
        </w:tc>
        <w:tc>
          <w:tcPr>
            <w:tcW w:w="4196"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b/>
                <w:bCs/>
              </w:rPr>
            </w:pPr>
            <w:r>
              <w:rPr>
                <w:b/>
                <w:bCs/>
              </w:rPr>
              <w:t>评分项</w:t>
            </w:r>
          </w:p>
        </w:tc>
        <w:tc>
          <w:tcPr>
            <w:tcW w:w="4196"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b/>
                <w:bCs/>
              </w:rPr>
            </w:pPr>
            <w:r>
              <w:rPr>
                <w:b/>
                <w:bCs/>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tcPr>
          <w:p>
            <w:pPr>
              <w:wordWrap w:val="0"/>
              <w:jc w:val="center"/>
              <w:rPr>
                <w:b/>
                <w:bCs/>
                <w:color w:val="0000FF"/>
              </w:rPr>
            </w:pPr>
            <w:r>
              <w:rPr>
                <w:b/>
                <w:bCs/>
                <w:color w:val="0000FF"/>
              </w:rPr>
              <w:t>1</w:t>
            </w:r>
          </w:p>
        </w:tc>
        <w:tc>
          <w:tcPr>
            <w:tcW w:w="4196" w:type="dxa"/>
            <w:gridSpan w:val="3"/>
            <w:tcBorders>
              <w:top w:val="single" w:color="000000" w:sz="8" w:space="0"/>
              <w:left w:val="single" w:color="000000" w:sz="8" w:space="0"/>
              <w:bottom w:val="single" w:color="000000" w:sz="8" w:space="0"/>
              <w:right w:val="single" w:color="000000" w:sz="8" w:space="0"/>
            </w:tcBorders>
          </w:tcPr>
          <w:p>
            <w:pPr>
              <w:wordWrap w:val="0"/>
              <w:jc w:val="center"/>
              <w:rPr>
                <w:b/>
                <w:bCs/>
                <w:color w:val="0000FF"/>
              </w:rPr>
            </w:pPr>
            <w:r>
              <w:rPr>
                <w:b/>
                <w:bCs/>
                <w:color w:val="0000FF"/>
              </w:rPr>
              <w:t>价格</w:t>
            </w:r>
          </w:p>
        </w:tc>
        <w:tc>
          <w:tcPr>
            <w:tcW w:w="4196" w:type="dxa"/>
            <w:tcBorders>
              <w:top w:val="single" w:color="000000" w:sz="8" w:space="0"/>
              <w:left w:val="single" w:color="000000" w:sz="8" w:space="0"/>
              <w:bottom w:val="single" w:color="000000" w:sz="8" w:space="0"/>
              <w:right w:val="single" w:color="000000" w:sz="8" w:space="0"/>
            </w:tcBorders>
          </w:tcPr>
          <w:p>
            <w:pPr>
              <w:wordWrap w:val="0"/>
              <w:jc w:val="center"/>
              <w:rPr>
                <w:b/>
                <w:bCs/>
                <w:color w:val="0000FF"/>
              </w:rPr>
            </w:pPr>
            <w:r>
              <w:rPr>
                <w:b/>
                <w:bCs/>
                <w:color w:val="0000FF"/>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rPr>
            </w:pPr>
            <w:r>
              <w:rPr>
                <w:b/>
                <w:bCs/>
                <w:color w:val="0000FF"/>
              </w:rPr>
              <w:t>2</w:t>
            </w:r>
          </w:p>
        </w:tc>
        <w:tc>
          <w:tcPr>
            <w:tcW w:w="4196" w:type="dxa"/>
            <w:gridSpan w:val="3"/>
            <w:tcBorders>
              <w:top w:val="single" w:color="000000" w:sz="8" w:space="0"/>
              <w:left w:val="single" w:color="000000" w:sz="8" w:space="0"/>
              <w:bottom w:val="single" w:color="000000" w:sz="8" w:space="0"/>
              <w:right w:val="single" w:color="000000" w:sz="8" w:space="0"/>
            </w:tcBorders>
          </w:tcPr>
          <w:p>
            <w:pPr>
              <w:wordWrap w:val="0"/>
              <w:jc w:val="center"/>
              <w:rPr>
                <w:b/>
                <w:bCs/>
                <w:color w:val="0000FF"/>
              </w:rPr>
            </w:pPr>
            <w:r>
              <w:rPr>
                <w:b/>
                <w:bCs/>
                <w:color w:val="0000FF"/>
              </w:rPr>
              <w:t>技术部分</w:t>
            </w:r>
          </w:p>
        </w:tc>
        <w:tc>
          <w:tcPr>
            <w:tcW w:w="4196" w:type="dxa"/>
            <w:tcBorders>
              <w:top w:val="single" w:color="000000" w:sz="8" w:space="0"/>
              <w:left w:val="single" w:color="000000" w:sz="8" w:space="0"/>
              <w:bottom w:val="single" w:color="000000" w:sz="8" w:space="0"/>
              <w:right w:val="single" w:color="000000" w:sz="8" w:space="0"/>
            </w:tcBorders>
          </w:tcPr>
          <w:p>
            <w:pPr>
              <w:wordWrap w:val="0"/>
              <w:jc w:val="center"/>
              <w:rPr>
                <w:b/>
                <w:bCs/>
                <w:color w:val="0000FF"/>
              </w:rPr>
            </w:pPr>
            <w:r>
              <w:rPr>
                <w:b/>
                <w:bCs/>
                <w:color w:val="0000FF"/>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宋体" w:hAnsi="宋体" w:cs="宋体"/>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szCs w:val="21"/>
              </w:rPr>
            </w:pPr>
            <w:r>
              <w:rPr>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szCs w:val="21"/>
              </w:rPr>
            </w:pPr>
            <w:r>
              <w:rPr>
                <w:szCs w:val="21"/>
              </w:rPr>
              <w:t>权重</w:t>
            </w:r>
          </w:p>
        </w:tc>
        <w:tc>
          <w:tcPr>
            <w:tcW w:w="4196"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szCs w:val="21"/>
              </w:rPr>
            </w:pPr>
            <w:r>
              <w:rPr>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1</w:t>
            </w:r>
          </w:p>
        </w:tc>
        <w:tc>
          <w:tcPr>
            <w:tcW w:w="2835"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szCs w:val="21"/>
              </w:rPr>
              <w:t>产品性能及参数</w:t>
            </w:r>
          </w:p>
        </w:tc>
        <w:tc>
          <w:tcPr>
            <w:tcW w:w="681"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40</w:t>
            </w:r>
          </w:p>
        </w:tc>
        <w:tc>
          <w:tcPr>
            <w:tcW w:w="4196"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rFonts w:hint="eastAsia"/>
                <w:szCs w:val="21"/>
              </w:rPr>
              <w:t>评审标准：</w:t>
            </w:r>
          </w:p>
          <w:p>
            <w:pPr>
              <w:wordWrap w:val="0"/>
              <w:jc w:val="left"/>
              <w:rPr>
                <w:szCs w:val="21"/>
              </w:rPr>
            </w:pPr>
            <w:r>
              <w:rPr>
                <w:rFonts w:hint="eastAsia"/>
                <w:szCs w:val="21"/>
              </w:rPr>
              <w:t>1、基准分：投标人的投标文件中对招标技术参数进行了响应即得基本分100分；在100分的基础上根据以下原则减分。</w:t>
            </w:r>
          </w:p>
          <w:p>
            <w:pPr>
              <w:wordWrap w:val="0"/>
              <w:jc w:val="left"/>
              <w:rPr>
                <w:szCs w:val="21"/>
              </w:rPr>
            </w:pPr>
            <w:r>
              <w:rPr>
                <w:rFonts w:hint="eastAsia"/>
                <w:szCs w:val="21"/>
              </w:rPr>
              <w:t>2、扣分原则：</w:t>
            </w:r>
          </w:p>
          <w:p>
            <w:pPr>
              <w:wordWrap w:val="0"/>
              <w:jc w:val="left"/>
              <w:rPr>
                <w:szCs w:val="21"/>
              </w:rPr>
            </w:pPr>
            <w:r>
              <w:rPr>
                <w:rFonts w:hint="eastAsia"/>
                <w:szCs w:val="21"/>
              </w:rPr>
              <w:t>1）投标人所投设备重要技术参数“▲”每负偏离（低于）1项，扣20分；</w:t>
            </w:r>
          </w:p>
          <w:p>
            <w:pPr>
              <w:wordWrap w:val="0"/>
              <w:jc w:val="left"/>
              <w:rPr>
                <w:szCs w:val="21"/>
              </w:rPr>
            </w:pPr>
            <w:r>
              <w:rPr>
                <w:rFonts w:hint="eastAsia"/>
                <w:szCs w:val="21"/>
              </w:rPr>
              <w:t>2）投标供应商所投设备一般技术参数每负偏离（低于）1项，扣10分；扣分最高不超过100分；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rFonts w:hint="eastAsia"/>
                <w:szCs w:val="21"/>
              </w:rPr>
              <w:t>2</w:t>
            </w:r>
          </w:p>
        </w:tc>
        <w:tc>
          <w:tcPr>
            <w:tcW w:w="2835"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rFonts w:hint="eastAsia"/>
                <w:szCs w:val="21"/>
              </w:rPr>
              <w:t>质量控制体系、设计的科学合理性</w:t>
            </w:r>
          </w:p>
        </w:tc>
        <w:tc>
          <w:tcPr>
            <w:tcW w:w="681"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rFonts w:hint="eastAsia"/>
                <w:szCs w:val="21"/>
              </w:rPr>
              <w:t>5</w:t>
            </w:r>
          </w:p>
        </w:tc>
        <w:tc>
          <w:tcPr>
            <w:tcW w:w="4196"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rFonts w:hint="eastAsia"/>
                <w:szCs w:val="21"/>
              </w:rPr>
              <w:t>在应答文件中应体现厂家生产的质量控制体系、详细说明产品设计的科学性、合理性、质量可靠性、兼容性等，评审专家根据产品的情况进行横向比较，分档评分：</w:t>
            </w:r>
          </w:p>
          <w:p>
            <w:pPr>
              <w:wordWrap w:val="0"/>
              <w:jc w:val="left"/>
              <w:rPr>
                <w:szCs w:val="21"/>
              </w:rPr>
            </w:pPr>
            <w:r>
              <w:rPr>
                <w:rFonts w:hint="eastAsia"/>
                <w:szCs w:val="21"/>
              </w:rPr>
              <w:t>1、优得100分：产品设计科学合理、质量可靠，具备完善的兼容性；</w:t>
            </w:r>
          </w:p>
          <w:p>
            <w:pPr>
              <w:wordWrap w:val="0"/>
              <w:jc w:val="left"/>
              <w:rPr>
                <w:szCs w:val="21"/>
              </w:rPr>
            </w:pPr>
            <w:r>
              <w:rPr>
                <w:rFonts w:hint="eastAsia"/>
                <w:szCs w:val="21"/>
              </w:rPr>
              <w:t>2、良得80分：产品设计合理、质量可靠，具备一般的兼容性；</w:t>
            </w:r>
          </w:p>
          <w:p>
            <w:pPr>
              <w:wordWrap w:val="0"/>
              <w:jc w:val="left"/>
              <w:rPr>
                <w:szCs w:val="21"/>
              </w:rPr>
            </w:pPr>
            <w:r>
              <w:rPr>
                <w:rFonts w:hint="eastAsia"/>
                <w:szCs w:val="21"/>
              </w:rPr>
              <w:t>3、中得60分：产品质量可靠；</w:t>
            </w:r>
          </w:p>
          <w:p>
            <w:pPr>
              <w:wordWrap w:val="0"/>
              <w:jc w:val="left"/>
              <w:rPr>
                <w:szCs w:val="21"/>
              </w:rPr>
            </w:pPr>
            <w:r>
              <w:rPr>
                <w:rFonts w:hint="eastAsia"/>
                <w:szCs w:val="21"/>
              </w:rPr>
              <w:t>4、差得20分：产品设计不科学、不合理，质量一般；</w:t>
            </w:r>
          </w:p>
          <w:p>
            <w:pPr>
              <w:wordWrap w:val="0"/>
              <w:jc w:val="left"/>
              <w:rPr>
                <w:szCs w:val="21"/>
              </w:rPr>
            </w:pPr>
            <w:r>
              <w:rPr>
                <w:rFonts w:hint="eastAsia"/>
                <w:szCs w:val="21"/>
              </w:rPr>
              <w:t>5、未提供得0分。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b/>
                <w:bCs/>
                <w:color w:val="0000FF"/>
                <w:sz w:val="24"/>
              </w:rPr>
            </w:pPr>
            <w:r>
              <w:rPr>
                <w:b/>
                <w:bCs/>
                <w:color w:val="0000FF"/>
              </w:rPr>
              <w:t>3</w:t>
            </w:r>
          </w:p>
        </w:tc>
        <w:tc>
          <w:tcPr>
            <w:tcW w:w="4196" w:type="dxa"/>
            <w:gridSpan w:val="3"/>
            <w:tcBorders>
              <w:top w:val="single" w:color="000000" w:sz="8" w:space="0"/>
              <w:left w:val="single" w:color="000000" w:sz="8" w:space="0"/>
              <w:bottom w:val="single" w:color="000000" w:sz="8" w:space="0"/>
              <w:right w:val="single" w:color="000000" w:sz="8" w:space="0"/>
            </w:tcBorders>
          </w:tcPr>
          <w:p>
            <w:pPr>
              <w:wordWrap w:val="0"/>
              <w:jc w:val="center"/>
              <w:rPr>
                <w:b/>
                <w:bCs/>
                <w:color w:val="0000FF"/>
              </w:rPr>
            </w:pPr>
            <w:r>
              <w:rPr>
                <w:b/>
                <w:bCs/>
                <w:color w:val="0000FF"/>
              </w:rPr>
              <w:t>商务部分</w:t>
            </w:r>
          </w:p>
        </w:tc>
        <w:tc>
          <w:tcPr>
            <w:tcW w:w="4196" w:type="dxa"/>
            <w:tcBorders>
              <w:top w:val="single" w:color="000000" w:sz="8" w:space="0"/>
              <w:left w:val="single" w:color="000000" w:sz="8" w:space="0"/>
              <w:bottom w:val="single" w:color="000000" w:sz="8" w:space="0"/>
              <w:right w:val="single" w:color="000000" w:sz="8" w:space="0"/>
            </w:tcBorders>
          </w:tcPr>
          <w:p>
            <w:pPr>
              <w:wordWrap w:val="0"/>
              <w:jc w:val="center"/>
              <w:rPr>
                <w:b/>
                <w:bCs/>
                <w:color w:val="0000FF"/>
              </w:rPr>
            </w:pPr>
            <w:r>
              <w:rPr>
                <w:b/>
                <w:bCs/>
                <w:color w:val="0000FF"/>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宋体" w:hAnsi="宋体" w:cs="宋体"/>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szCs w:val="21"/>
              </w:rPr>
            </w:pPr>
            <w:r>
              <w:rPr>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szCs w:val="21"/>
              </w:rPr>
            </w:pPr>
            <w:r>
              <w:rPr>
                <w:szCs w:val="21"/>
              </w:rPr>
              <w:t>权重</w:t>
            </w:r>
          </w:p>
        </w:tc>
        <w:tc>
          <w:tcPr>
            <w:tcW w:w="4196"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szCs w:val="21"/>
              </w:rPr>
            </w:pPr>
            <w:r>
              <w:rPr>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1</w:t>
            </w:r>
          </w:p>
        </w:tc>
        <w:tc>
          <w:tcPr>
            <w:tcW w:w="2835"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szCs w:val="21"/>
              </w:rPr>
              <w:t>标书编制质量</w:t>
            </w:r>
          </w:p>
        </w:tc>
        <w:tc>
          <w:tcPr>
            <w:tcW w:w="681"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4</w:t>
            </w:r>
          </w:p>
        </w:tc>
        <w:tc>
          <w:tcPr>
            <w:tcW w:w="4196"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szCs w:val="21"/>
              </w:rPr>
              <w:t>评审专家根据供应商在应答文件中提供的介绍</w:t>
            </w:r>
            <w:r>
              <w:rPr>
                <w:rFonts w:hint="eastAsia"/>
                <w:szCs w:val="21"/>
              </w:rPr>
              <w:t>、</w:t>
            </w:r>
            <w:r>
              <w:rPr>
                <w:szCs w:val="21"/>
              </w:rPr>
              <w:t>标书编制格式、提供的证明文件、证书、彩页的清晰辨析度等角度</w:t>
            </w:r>
            <w:r>
              <w:rPr>
                <w:rFonts w:hint="eastAsia"/>
                <w:szCs w:val="21"/>
              </w:rPr>
              <w:t>做出评价</w:t>
            </w:r>
            <w:r>
              <w:rPr>
                <w:szCs w:val="21"/>
              </w:rPr>
              <w:t>；</w:t>
            </w:r>
            <w:r>
              <w:rPr>
                <w:rFonts w:hint="eastAsia"/>
                <w:szCs w:val="21"/>
              </w:rPr>
              <w:t>分档评分，横向比较：</w:t>
            </w:r>
          </w:p>
          <w:p>
            <w:pPr>
              <w:wordWrap w:val="0"/>
              <w:jc w:val="left"/>
              <w:rPr>
                <w:szCs w:val="21"/>
              </w:rPr>
            </w:pPr>
            <w:r>
              <w:rPr>
                <w:rFonts w:hint="eastAsia"/>
                <w:szCs w:val="21"/>
              </w:rPr>
              <w:t>1、优得1</w:t>
            </w:r>
            <w:r>
              <w:rPr>
                <w:szCs w:val="21"/>
              </w:rPr>
              <w:t>00</w:t>
            </w:r>
            <w:r>
              <w:rPr>
                <w:rFonts w:hint="eastAsia"/>
                <w:szCs w:val="21"/>
              </w:rPr>
              <w:t>分：标书格式有序，对应节点完善，目录清晰易寻，</w:t>
            </w:r>
            <w:r>
              <w:rPr>
                <w:szCs w:val="21"/>
              </w:rPr>
              <w:t>提供的证明文件、证书、彩页</w:t>
            </w:r>
            <w:r>
              <w:rPr>
                <w:rFonts w:hint="eastAsia"/>
                <w:szCs w:val="21"/>
              </w:rPr>
              <w:t>等十分</w:t>
            </w:r>
            <w:r>
              <w:rPr>
                <w:szCs w:val="21"/>
              </w:rPr>
              <w:t>清晰</w:t>
            </w:r>
            <w:r>
              <w:rPr>
                <w:rFonts w:hint="eastAsia"/>
                <w:szCs w:val="21"/>
              </w:rPr>
              <w:t>；</w:t>
            </w:r>
          </w:p>
          <w:p>
            <w:pPr>
              <w:wordWrap w:val="0"/>
              <w:jc w:val="left"/>
              <w:rPr>
                <w:szCs w:val="21"/>
              </w:rPr>
            </w:pPr>
            <w:r>
              <w:rPr>
                <w:rFonts w:hint="eastAsia"/>
                <w:szCs w:val="21"/>
              </w:rPr>
              <w:t>2、良得8</w:t>
            </w:r>
            <w:r>
              <w:rPr>
                <w:szCs w:val="21"/>
              </w:rPr>
              <w:t>0</w:t>
            </w:r>
            <w:r>
              <w:rPr>
                <w:rFonts w:hint="eastAsia"/>
                <w:szCs w:val="21"/>
              </w:rPr>
              <w:t>分：标书格式有序，</w:t>
            </w:r>
            <w:r>
              <w:rPr>
                <w:szCs w:val="21"/>
              </w:rPr>
              <w:t>提供的证明文件、证书、彩页</w:t>
            </w:r>
            <w:r>
              <w:rPr>
                <w:rFonts w:hint="eastAsia"/>
                <w:szCs w:val="21"/>
              </w:rPr>
              <w:t>等较为清晰；</w:t>
            </w:r>
          </w:p>
          <w:p>
            <w:pPr>
              <w:wordWrap w:val="0"/>
              <w:jc w:val="left"/>
              <w:rPr>
                <w:szCs w:val="21"/>
              </w:rPr>
            </w:pPr>
            <w:r>
              <w:rPr>
                <w:rFonts w:hint="eastAsia"/>
                <w:szCs w:val="21"/>
              </w:rPr>
              <w:t>3、中得6</w:t>
            </w:r>
            <w:r>
              <w:rPr>
                <w:szCs w:val="21"/>
              </w:rPr>
              <w:t>0</w:t>
            </w:r>
            <w:r>
              <w:rPr>
                <w:rFonts w:hint="eastAsia"/>
                <w:szCs w:val="21"/>
              </w:rPr>
              <w:t>分：标书格式有序，</w:t>
            </w:r>
            <w:r>
              <w:rPr>
                <w:szCs w:val="21"/>
              </w:rPr>
              <w:t>提供的证明文件、证书、彩页</w:t>
            </w:r>
            <w:r>
              <w:rPr>
                <w:rFonts w:hint="eastAsia"/>
                <w:szCs w:val="21"/>
              </w:rPr>
              <w:t>等模糊难辨；</w:t>
            </w:r>
          </w:p>
          <w:p>
            <w:pPr>
              <w:wordWrap w:val="0"/>
              <w:jc w:val="left"/>
              <w:rPr>
                <w:szCs w:val="21"/>
              </w:rPr>
            </w:pPr>
            <w:r>
              <w:rPr>
                <w:rFonts w:hint="eastAsia"/>
                <w:szCs w:val="21"/>
              </w:rPr>
              <w:t>4、差得2</w:t>
            </w:r>
            <w:r>
              <w:rPr>
                <w:szCs w:val="21"/>
              </w:rPr>
              <w:t>0</w:t>
            </w:r>
            <w:r>
              <w:rPr>
                <w:rFonts w:hint="eastAsia"/>
                <w:szCs w:val="21"/>
              </w:rPr>
              <w:t>分：标书格式混乱，提供的</w:t>
            </w:r>
            <w:r>
              <w:rPr>
                <w:szCs w:val="21"/>
              </w:rPr>
              <w:t>证明文件、证书、彩页</w:t>
            </w:r>
            <w:r>
              <w:rPr>
                <w:rFonts w:hint="eastAsia"/>
                <w:szCs w:val="21"/>
              </w:rPr>
              <w:t>等模糊难辨；</w:t>
            </w:r>
          </w:p>
          <w:p>
            <w:pPr>
              <w:wordWrap w:val="0"/>
              <w:jc w:val="left"/>
              <w:rPr>
                <w:szCs w:val="21"/>
              </w:rPr>
            </w:pPr>
            <w:r>
              <w:rPr>
                <w:rFonts w:hint="eastAsia"/>
                <w:szCs w:val="21"/>
              </w:rPr>
              <w:t>5、未提供得0分。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2</w:t>
            </w:r>
          </w:p>
        </w:tc>
        <w:tc>
          <w:tcPr>
            <w:tcW w:w="2835"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rFonts w:hint="eastAsia"/>
                <w:szCs w:val="21"/>
              </w:rPr>
              <w:t>业绩情况</w:t>
            </w:r>
          </w:p>
        </w:tc>
        <w:tc>
          <w:tcPr>
            <w:tcW w:w="681"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4</w:t>
            </w:r>
          </w:p>
        </w:tc>
        <w:tc>
          <w:tcPr>
            <w:tcW w:w="4196"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rFonts w:hint="eastAsia"/>
                <w:szCs w:val="21"/>
              </w:rPr>
              <w:t>根据该系列产品近三年用户使用情况，按照同类业绩项目的数量打分，每提供1个同类业绩得</w:t>
            </w:r>
            <w:r>
              <w:rPr>
                <w:szCs w:val="21"/>
              </w:rPr>
              <w:t>10</w:t>
            </w:r>
            <w:r>
              <w:rPr>
                <w:rFonts w:hint="eastAsia"/>
                <w:szCs w:val="21"/>
              </w:rPr>
              <w:t>分，最高得100分，未提供或不能有效证明的不得分。</w:t>
            </w:r>
          </w:p>
          <w:p>
            <w:pPr>
              <w:wordWrap w:val="0"/>
              <w:jc w:val="left"/>
              <w:rPr>
                <w:szCs w:val="21"/>
              </w:rPr>
            </w:pPr>
            <w:r>
              <w:rPr>
                <w:rFonts w:hint="eastAsia"/>
                <w:szCs w:val="21"/>
              </w:rPr>
              <w:t>证明文件</w:t>
            </w:r>
            <w:r>
              <w:rPr>
                <w:szCs w:val="21"/>
              </w:rPr>
              <w:t>：供应商必须在应答文件中提供证明资料的扫描件（原件备查），如成交通知书（须体现发出时间）</w:t>
            </w:r>
            <w:r>
              <w:rPr>
                <w:rFonts w:hint="eastAsia"/>
                <w:szCs w:val="21"/>
              </w:rPr>
              <w:t>或</w:t>
            </w:r>
            <w:r>
              <w:rPr>
                <w:szCs w:val="21"/>
              </w:rPr>
              <w:t>有效合同关键页（须体现项目名称及签订时间）</w:t>
            </w:r>
            <w:r>
              <w:rPr>
                <w:rFonts w:hint="eastAsia"/>
                <w:szCs w:val="21"/>
              </w:rPr>
              <w:t>或</w:t>
            </w:r>
            <w:r>
              <w:rPr>
                <w:szCs w:val="21"/>
              </w:rPr>
              <w:t>验收报告或发票等，未提供或提供证明材料不清晰则不得分。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rFonts w:hint="eastAsia"/>
                <w:szCs w:val="21"/>
              </w:rPr>
              <w:t>3</w:t>
            </w:r>
          </w:p>
        </w:tc>
        <w:tc>
          <w:tcPr>
            <w:tcW w:w="2835"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rFonts w:hint="eastAsia"/>
                <w:szCs w:val="21"/>
              </w:rPr>
              <w:t>供应商本地技术实力和服务能力</w:t>
            </w:r>
          </w:p>
        </w:tc>
        <w:tc>
          <w:tcPr>
            <w:tcW w:w="681"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3</w:t>
            </w:r>
          </w:p>
        </w:tc>
        <w:tc>
          <w:tcPr>
            <w:tcW w:w="4196" w:type="dxa"/>
            <w:tcBorders>
              <w:top w:val="single" w:color="000000" w:sz="8" w:space="0"/>
              <w:left w:val="single" w:color="000000" w:sz="8" w:space="0"/>
              <w:bottom w:val="single" w:color="000000" w:sz="8" w:space="0"/>
              <w:right w:val="single" w:color="000000" w:sz="8" w:space="0"/>
            </w:tcBorders>
          </w:tcPr>
          <w:p>
            <w:r>
              <w:rPr>
                <w:rFonts w:hint="eastAsia"/>
              </w:rPr>
              <w:t>评审标准：</w:t>
            </w:r>
          </w:p>
          <w:p>
            <w:r>
              <w:rPr>
                <w:rFonts w:hint="eastAsia"/>
              </w:rPr>
              <w:t>1、在深圳注册供应商得100分；</w:t>
            </w:r>
          </w:p>
          <w:p>
            <w:r>
              <w:rPr>
                <w:rFonts w:hint="eastAsia"/>
              </w:rPr>
              <w:t>2、非深圳注册供应商投标，但其在深圳注册有子公司或分公司、售后服务点也得100分；不提供不得分。</w:t>
            </w:r>
          </w:p>
          <w:p>
            <w:pPr>
              <w:rPr>
                <w:bCs/>
              </w:rPr>
            </w:pPr>
            <w:r>
              <w:rPr>
                <w:rFonts w:hint="eastAsia"/>
                <w:bCs/>
              </w:rPr>
              <w:t>证明文件：</w:t>
            </w:r>
          </w:p>
          <w:p>
            <w:r>
              <w:rPr>
                <w:rFonts w:hint="eastAsia"/>
              </w:rPr>
              <w:t>1）深圳注册供应商要求提供营业执照或事业单位法人证等证明扫描件，原件备查；</w:t>
            </w:r>
          </w:p>
          <w:p>
            <w:r>
              <w:rPr>
                <w:rFonts w:hint="eastAsia"/>
              </w:rPr>
              <w:t>2）分公司要求提供营业执照扫描件，原件备查；子公司要求同时提供营业执照及母子公司股权关系证明资料（均要求扫描件，原件备查）；</w:t>
            </w:r>
          </w:p>
          <w:p>
            <w:r>
              <w:rPr>
                <w:rFonts w:hint="eastAsia"/>
              </w:rPr>
              <w:t>3）售后服务点要求提供租赁合同（有效期内）或房产证明。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4</w:t>
            </w:r>
          </w:p>
        </w:tc>
        <w:tc>
          <w:tcPr>
            <w:tcW w:w="2835"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szCs w:val="21"/>
              </w:rPr>
              <w:t>合法供货渠道及质保期</w:t>
            </w:r>
          </w:p>
        </w:tc>
        <w:tc>
          <w:tcPr>
            <w:tcW w:w="681"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9</w:t>
            </w:r>
          </w:p>
        </w:tc>
        <w:tc>
          <w:tcPr>
            <w:tcW w:w="4196"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szCs w:val="21"/>
              </w:rPr>
              <w:t>1.供货渠道合规资格，以确保设备质量与安全</w:t>
            </w:r>
            <w:r>
              <w:rPr>
                <w:rFonts w:hint="eastAsia"/>
                <w:szCs w:val="21"/>
              </w:rPr>
              <w:t>，符合者得4</w:t>
            </w:r>
            <w:r>
              <w:rPr>
                <w:szCs w:val="21"/>
              </w:rPr>
              <w:t>0</w:t>
            </w:r>
            <w:r>
              <w:rPr>
                <w:rFonts w:hint="eastAsia"/>
                <w:szCs w:val="21"/>
              </w:rPr>
              <w:t>分，否则不得分。</w:t>
            </w:r>
            <w:r>
              <w:rPr>
                <w:szCs w:val="21"/>
              </w:rPr>
              <w:t xml:space="preserve"> </w:t>
            </w:r>
          </w:p>
          <w:p>
            <w:pPr>
              <w:wordWrap w:val="0"/>
              <w:jc w:val="left"/>
              <w:rPr>
                <w:szCs w:val="21"/>
              </w:rPr>
            </w:pPr>
            <w:r>
              <w:rPr>
                <w:szCs w:val="21"/>
              </w:rPr>
              <w:t>2.</w:t>
            </w:r>
            <w:r>
              <w:rPr>
                <w:rFonts w:hint="eastAsia"/>
                <w:szCs w:val="21"/>
              </w:rPr>
              <w:t>所投产品需厂家（进口产品中国区无厂家的，中国区总代理）或厂家委托的第三方技术服务商提供符合或优于“第一册第三章第二节（二）售后服务的要求”的服务，并提供承诺，符合者得60分，否则不得分。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rPr>
                <w:rFonts w:ascii="宋体" w:hAnsi="宋体" w:cs="宋体"/>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5</w:t>
            </w:r>
          </w:p>
        </w:tc>
        <w:tc>
          <w:tcPr>
            <w:tcW w:w="2835"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szCs w:val="21"/>
              </w:rPr>
              <w:t>故障技术支持响应时间、售后服务人员安排等情况</w:t>
            </w:r>
          </w:p>
        </w:tc>
        <w:tc>
          <w:tcPr>
            <w:tcW w:w="681" w:type="dxa"/>
            <w:tcBorders>
              <w:top w:val="single" w:color="000000" w:sz="8" w:space="0"/>
              <w:left w:val="single" w:color="000000" w:sz="8" w:space="0"/>
              <w:bottom w:val="single" w:color="000000" w:sz="8" w:space="0"/>
              <w:right w:val="single" w:color="000000" w:sz="8" w:space="0"/>
            </w:tcBorders>
          </w:tcPr>
          <w:p>
            <w:pPr>
              <w:wordWrap w:val="0"/>
              <w:jc w:val="center"/>
              <w:rPr>
                <w:szCs w:val="21"/>
              </w:rPr>
            </w:pPr>
            <w:r>
              <w:rPr>
                <w:szCs w:val="21"/>
              </w:rPr>
              <w:t>5</w:t>
            </w:r>
          </w:p>
        </w:tc>
        <w:tc>
          <w:tcPr>
            <w:tcW w:w="4196" w:type="dxa"/>
            <w:tcBorders>
              <w:top w:val="single" w:color="000000" w:sz="8" w:space="0"/>
              <w:left w:val="single" w:color="000000" w:sz="8" w:space="0"/>
              <w:bottom w:val="single" w:color="000000" w:sz="8" w:space="0"/>
              <w:right w:val="single" w:color="000000" w:sz="8" w:space="0"/>
            </w:tcBorders>
          </w:tcPr>
          <w:p>
            <w:pPr>
              <w:wordWrap w:val="0"/>
              <w:jc w:val="left"/>
              <w:rPr>
                <w:szCs w:val="21"/>
              </w:rPr>
            </w:pPr>
            <w:r>
              <w:rPr>
                <w:szCs w:val="21"/>
              </w:rPr>
              <w:t>评审标准：供应商对质保期和保修期及相关服务承诺、技术支持、技术培训等情况进行响应，具体包括：1、交货安排</w:t>
            </w:r>
            <w:r>
              <w:rPr>
                <w:rFonts w:hint="eastAsia"/>
                <w:szCs w:val="21"/>
              </w:rPr>
              <w:t>、</w:t>
            </w:r>
            <w:r>
              <w:rPr>
                <w:szCs w:val="21"/>
              </w:rPr>
              <w:t>2、验收方</w:t>
            </w:r>
            <w:r>
              <w:rPr>
                <w:rFonts w:hint="eastAsia"/>
                <w:szCs w:val="21"/>
              </w:rPr>
              <w:t>案、</w:t>
            </w:r>
            <w:r>
              <w:rPr>
                <w:szCs w:val="21"/>
              </w:rPr>
              <w:t>3、设备故障应急措施</w:t>
            </w:r>
            <w:r>
              <w:rPr>
                <w:rFonts w:hint="eastAsia"/>
                <w:szCs w:val="21"/>
              </w:rPr>
              <w:t>、</w:t>
            </w:r>
            <w:r>
              <w:rPr>
                <w:szCs w:val="21"/>
              </w:rPr>
              <w:t>4、技术支持响应和技术培训方案。</w:t>
            </w:r>
            <w:r>
              <w:rPr>
                <w:rFonts w:hint="eastAsia"/>
                <w:szCs w:val="21"/>
              </w:rPr>
              <w:t>分档评分：</w:t>
            </w:r>
          </w:p>
          <w:p>
            <w:pPr>
              <w:wordWrap w:val="0"/>
              <w:jc w:val="left"/>
              <w:rPr>
                <w:szCs w:val="21"/>
              </w:rPr>
            </w:pPr>
            <w:r>
              <w:rPr>
                <w:rFonts w:hint="eastAsia"/>
                <w:szCs w:val="21"/>
              </w:rPr>
              <w:t>1、优得1</w:t>
            </w:r>
            <w:r>
              <w:rPr>
                <w:szCs w:val="21"/>
              </w:rPr>
              <w:t>00</w:t>
            </w:r>
            <w:r>
              <w:rPr>
                <w:rFonts w:hint="eastAsia"/>
                <w:szCs w:val="21"/>
              </w:rPr>
              <w:t>分：包含以上4个方面内容，且内容饱满、条例清晰、实施性强；</w:t>
            </w:r>
          </w:p>
          <w:p>
            <w:pPr>
              <w:wordWrap w:val="0"/>
              <w:jc w:val="left"/>
              <w:rPr>
                <w:szCs w:val="21"/>
              </w:rPr>
            </w:pPr>
            <w:r>
              <w:rPr>
                <w:rFonts w:hint="eastAsia"/>
                <w:szCs w:val="21"/>
              </w:rPr>
              <w:t>2、良得8</w:t>
            </w:r>
            <w:r>
              <w:rPr>
                <w:szCs w:val="21"/>
              </w:rPr>
              <w:t>0</w:t>
            </w:r>
            <w:r>
              <w:rPr>
                <w:rFonts w:hint="eastAsia"/>
                <w:szCs w:val="21"/>
              </w:rPr>
              <w:t>分：包含以上</w:t>
            </w:r>
            <w:r>
              <w:rPr>
                <w:szCs w:val="21"/>
              </w:rPr>
              <w:t>4</w:t>
            </w:r>
            <w:r>
              <w:rPr>
                <w:rFonts w:hint="eastAsia"/>
                <w:szCs w:val="21"/>
              </w:rPr>
              <w:t>个方面内容；</w:t>
            </w:r>
          </w:p>
          <w:p>
            <w:pPr>
              <w:wordWrap w:val="0"/>
              <w:jc w:val="left"/>
              <w:rPr>
                <w:szCs w:val="21"/>
              </w:rPr>
            </w:pPr>
            <w:r>
              <w:rPr>
                <w:rFonts w:hint="eastAsia"/>
                <w:szCs w:val="21"/>
              </w:rPr>
              <w:t>3、中得6</w:t>
            </w:r>
            <w:r>
              <w:rPr>
                <w:szCs w:val="21"/>
              </w:rPr>
              <w:t>0</w:t>
            </w:r>
            <w:r>
              <w:rPr>
                <w:rFonts w:hint="eastAsia"/>
                <w:szCs w:val="21"/>
              </w:rPr>
              <w:t>分：仅包含以上3个方面内容；</w:t>
            </w:r>
          </w:p>
          <w:p>
            <w:pPr>
              <w:wordWrap w:val="0"/>
              <w:jc w:val="left"/>
              <w:rPr>
                <w:szCs w:val="21"/>
              </w:rPr>
            </w:pPr>
            <w:r>
              <w:rPr>
                <w:rFonts w:hint="eastAsia"/>
                <w:szCs w:val="21"/>
              </w:rPr>
              <w:t>4、差得2</w:t>
            </w:r>
            <w:r>
              <w:rPr>
                <w:szCs w:val="21"/>
              </w:rPr>
              <w:t>0</w:t>
            </w:r>
            <w:r>
              <w:rPr>
                <w:rFonts w:hint="eastAsia"/>
                <w:szCs w:val="21"/>
              </w:rPr>
              <w:t>分：条例不清晰，所述方案未涉及重点；</w:t>
            </w:r>
          </w:p>
          <w:p>
            <w:pPr>
              <w:wordWrap w:val="0"/>
              <w:jc w:val="left"/>
              <w:rPr>
                <w:szCs w:val="21"/>
              </w:rPr>
            </w:pPr>
            <w:r>
              <w:rPr>
                <w:rFonts w:hint="eastAsia"/>
                <w:szCs w:val="21"/>
              </w:rPr>
              <w:t>5、未提供得0分。</w:t>
            </w:r>
          </w:p>
        </w:tc>
      </w:tr>
    </w:tbl>
    <w:p>
      <w:pPr>
        <w:pStyle w:val="4"/>
      </w:pPr>
    </w:p>
    <w:p>
      <w:pPr>
        <w:pStyle w:val="4"/>
      </w:pPr>
      <w:r>
        <w:rPr>
          <w:rFonts w:hint="eastAsia"/>
        </w:rPr>
        <w:t>第一册采购项目需求</w:t>
      </w:r>
      <w:bookmarkEnd w:id="0"/>
    </w:p>
    <w:p>
      <w:pPr>
        <w:pStyle w:val="7"/>
      </w:pPr>
      <w:bookmarkStart w:id="1" w:name="_Toc194467276"/>
      <w:r>
        <w:rPr>
          <w:rFonts w:hint="eastAsia"/>
        </w:rPr>
        <w:t>第一章  采购公告</w:t>
      </w:r>
      <w:bookmarkEnd w:id="1"/>
    </w:p>
    <w:p>
      <w:pPr>
        <w:ind w:firstLine="420" w:firstLineChars="200"/>
        <w:rPr>
          <w:rFonts w:ascii="宋体" w:hAnsi="宋体" w:cs="宋体"/>
          <w:kern w:val="0"/>
          <w:szCs w:val="21"/>
        </w:rPr>
      </w:pPr>
      <w:r>
        <w:rPr>
          <w:rFonts w:hint="eastAsia" w:ascii="宋体" w:hAnsi="宋体" w:cs="宋体"/>
          <w:kern w:val="0"/>
          <w:szCs w:val="21"/>
        </w:rPr>
        <w:t xml:space="preserve">根据《罗湖区自行采购项目进场交易管理办法（试行）》等有关规定，深圳市罗湖区政府物料供应中心就本项目进行自行采购，采用评审定标，欢迎符合条件的供应商参加应答。 </w:t>
      </w:r>
    </w:p>
    <w:p>
      <w:pPr>
        <w:tabs>
          <w:tab w:val="left" w:pos="420"/>
        </w:tabs>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项目编号：ZXCG2020206477</w:t>
      </w:r>
    </w:p>
    <w:p>
      <w:pPr>
        <w:tabs>
          <w:tab w:val="left" w:pos="420"/>
        </w:tabs>
        <w:rPr>
          <w:rFonts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项目名称：便携式冲击波治疗仪、脊柱减压治疗系统</w:t>
      </w:r>
    </w:p>
    <w:p>
      <w:pPr>
        <w:tabs>
          <w:tab w:val="left" w:pos="420"/>
        </w:tabs>
        <w:rPr>
          <w:rFonts w:ascii="宋体" w:hAnsi="宋体" w:cs="宋体"/>
          <w:kern w:val="0"/>
          <w:szCs w:val="21"/>
        </w:rPr>
      </w:pPr>
      <w:r>
        <w:rPr>
          <w:rFonts w:hint="eastAsia" w:ascii="宋体" w:hAnsi="宋体" w:cs="宋体"/>
          <w:kern w:val="0"/>
          <w:szCs w:val="21"/>
        </w:rPr>
        <w:t xml:space="preserve">3.代理机构：三方诚信招标有限公司 </w:t>
      </w:r>
    </w:p>
    <w:p>
      <w:pPr>
        <w:tabs>
          <w:tab w:val="left" w:pos="420"/>
        </w:tabs>
        <w:rPr>
          <w:rFonts w:ascii="宋体" w:hAnsi="宋体" w:cs="宋体"/>
          <w:kern w:val="0"/>
          <w:szCs w:val="21"/>
        </w:rPr>
      </w:pP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标书获得方法：</w:t>
      </w:r>
    </w:p>
    <w:p>
      <w:pPr>
        <w:ind w:firstLine="420" w:firstLineChars="200"/>
        <w:rPr>
          <w:rFonts w:ascii="宋体" w:hAnsi="宋体" w:cs="宋体"/>
          <w:kern w:val="0"/>
          <w:szCs w:val="21"/>
        </w:rPr>
      </w:pPr>
      <w:r>
        <w:rPr>
          <w:rFonts w:ascii="宋体" w:hAnsi="宋体" w:cs="宋体"/>
          <w:color w:val="FF0000"/>
          <w:kern w:val="0"/>
        </w:rPr>
        <w:t>供应商必须先行注册为深圳市政府采购供应商</w:t>
      </w:r>
      <w:r>
        <w:rPr>
          <w:rFonts w:hint="eastAsia" w:ascii="宋体" w:hAnsi="宋体" w:cs="宋体"/>
          <w:kern w:val="0"/>
          <w:szCs w:val="21"/>
        </w:rPr>
        <w:t>，凡已注册的深圳市政府采购供应商（未注册的供应商请先到深圳市政府采购中心办理注册手续），按照授予的操作权限，可于本公告公布期间登录深圳市罗湖区政府采购网（</w:t>
      </w:r>
      <w:r>
        <w:rPr>
          <w:rFonts w:cs="宋体"/>
          <w:kern w:val="0"/>
          <w:szCs w:val="21"/>
        </w:rPr>
        <w:t>http://lh.szzfcg.cn/</w:t>
      </w:r>
      <w:r>
        <w:rPr>
          <w:rFonts w:hint="eastAsia" w:cs="宋体"/>
          <w:kern w:val="0"/>
          <w:szCs w:val="21"/>
        </w:rPr>
        <w:t>）下载采购文件</w:t>
      </w:r>
      <w:r>
        <w:rPr>
          <w:rFonts w:hint="eastAsia" w:ascii="宋体" w:hAnsi="宋体" w:cs="宋体"/>
          <w:kern w:val="0"/>
          <w:szCs w:val="21"/>
        </w:rPr>
        <w:t>。供应商如确定参加应答，首先要在深圳市罗湖区政府采购网（</w:t>
      </w:r>
      <w:r>
        <w:rPr>
          <w:rFonts w:cs="宋体"/>
          <w:kern w:val="0"/>
          <w:szCs w:val="21"/>
        </w:rPr>
        <w:t>http://lh.szzfcg.cn/</w:t>
      </w:r>
      <w:r>
        <w:rPr>
          <w:rFonts w:hint="eastAsia" w:cs="宋体"/>
          <w:kern w:val="0"/>
          <w:szCs w:val="21"/>
        </w:rPr>
        <w:t>）</w:t>
      </w:r>
      <w:r>
        <w:rPr>
          <w:rFonts w:hint="eastAsia" w:ascii="宋体" w:hAnsi="宋体" w:cs="宋体"/>
          <w:kern w:val="0"/>
          <w:szCs w:val="21"/>
        </w:rPr>
        <w:t>进行报名，操作方法如下：点击“自行采购</w:t>
      </w:r>
      <w:r>
        <w:rPr>
          <w:rFonts w:ascii="宋体" w:hAnsi="宋体" w:cs="宋体"/>
          <w:kern w:val="0"/>
          <w:szCs w:val="21"/>
        </w:rPr>
        <w:sym w:font="Wingdings" w:char="00E0"/>
      </w:r>
      <w:r>
        <w:rPr>
          <w:rFonts w:hint="eastAsia" w:ascii="宋体" w:hAnsi="宋体" w:cs="宋体"/>
          <w:kern w:val="0"/>
          <w:szCs w:val="21"/>
        </w:rPr>
        <w:t>自行采购报名响应响应”； 如果网上报名后又不参加应答，应再点击 “撤销响应”。</w:t>
      </w:r>
    </w:p>
    <w:p>
      <w:pPr>
        <w:widowControl/>
        <w:jc w:val="left"/>
        <w:rPr>
          <w:rFonts w:ascii="宋体" w:hAnsi="宋体" w:cs="宋体"/>
          <w:b/>
          <w:kern w:val="0"/>
        </w:rPr>
      </w:pPr>
      <w:r>
        <w:rPr>
          <w:rFonts w:hint="eastAsia" w:ascii="宋体" w:hAnsi="宋体" w:cs="宋体"/>
          <w:b/>
          <w:kern w:val="0"/>
        </w:rPr>
        <w:t>5</w:t>
      </w:r>
      <w:r>
        <w:rPr>
          <w:rFonts w:ascii="宋体" w:hAnsi="宋体" w:cs="宋体"/>
          <w:b/>
          <w:kern w:val="0"/>
        </w:rPr>
        <w:t>.</w:t>
      </w:r>
      <w:r>
        <w:rPr>
          <w:rFonts w:hint="eastAsia" w:ascii="宋体" w:hAnsi="宋体" w:cs="宋体"/>
          <w:b/>
          <w:kern w:val="0"/>
        </w:rPr>
        <w:t>应答供应商资格要求：（供应商应按资格要求提供相关证明文件，且必须放入应答文件附件上传至报名附件，未提供证明资料应按作投标无效处理。）</w:t>
      </w:r>
    </w:p>
    <w:p>
      <w:pPr>
        <w:ind w:left="420"/>
        <w:rPr>
          <w:rFonts w:ascii="宋体" w:hAnsi="宋体" w:cs="宋体"/>
          <w:b/>
          <w:color w:val="FF0000"/>
          <w:kern w:val="0"/>
        </w:rPr>
      </w:pPr>
      <w:r>
        <w:rPr>
          <w:rFonts w:hint="eastAsia" w:ascii="宋体" w:hAnsi="宋体" w:cs="宋体"/>
          <w:b/>
          <w:color w:val="FF0000"/>
          <w:kern w:val="0"/>
        </w:rPr>
        <w:t>1）具有独立法人资格（提供合法有效的营业执照扫描件，原件备查）；</w:t>
      </w:r>
    </w:p>
    <w:p>
      <w:pPr>
        <w:ind w:left="420"/>
        <w:rPr>
          <w:rFonts w:ascii="宋体" w:hAnsi="宋体" w:cs="宋体"/>
          <w:b/>
          <w:color w:val="FF0000"/>
          <w:kern w:val="0"/>
        </w:rPr>
      </w:pPr>
      <w:r>
        <w:rPr>
          <w:rFonts w:hint="eastAsia" w:ascii="宋体" w:hAnsi="宋体" w:cs="宋体"/>
          <w:b/>
          <w:color w:val="FF0000"/>
          <w:kern w:val="0"/>
        </w:rPr>
        <w:t>2）若投标人为所投产品的生产企业，必须提供《医疗器械生产企业许可证》，且生产范围包含该产品；若投标人为所投产品的代理商或授权供应商，必须提供《医疗器械经营企业许可证》，且经营范围包含该产品；</w:t>
      </w:r>
    </w:p>
    <w:p>
      <w:pPr>
        <w:ind w:left="420"/>
        <w:rPr>
          <w:rFonts w:ascii="宋体" w:hAnsi="宋体" w:cs="宋体"/>
          <w:b/>
          <w:color w:val="FF0000"/>
          <w:kern w:val="0"/>
        </w:rPr>
      </w:pPr>
      <w:r>
        <w:rPr>
          <w:rFonts w:hint="eastAsia" w:ascii="宋体" w:hAnsi="宋体" w:cs="宋体"/>
          <w:b/>
          <w:color w:val="FF0000"/>
          <w:kern w:val="0"/>
        </w:rPr>
        <w:t>3）投标人必须提供所投产品的《医疗器械注册（备案）证》的扫描件，原件备查（开标时，该证应在有效期内；若不在有效期内，则需提供该证和所投产品在该证有效期内生产的药监局出具的证明文件）；</w:t>
      </w:r>
    </w:p>
    <w:p>
      <w:pPr>
        <w:ind w:left="420"/>
        <w:rPr>
          <w:rFonts w:ascii="宋体" w:hAnsi="宋体" w:cs="宋体"/>
          <w:b/>
          <w:color w:val="FF0000"/>
          <w:kern w:val="0"/>
        </w:rPr>
      </w:pPr>
      <w:r>
        <w:rPr>
          <w:rFonts w:hint="eastAsia" w:ascii="宋体" w:hAnsi="宋体" w:cs="宋体"/>
          <w:b/>
          <w:color w:val="FF0000"/>
          <w:kern w:val="0"/>
        </w:rPr>
        <w:t>4）若所投产品为进口，则投标人必须提供由设备制造商或授权的中国总代理签署的合法有效的保修、维修承诺函。若所投产品为国产产品，则无需提供。</w:t>
      </w:r>
    </w:p>
    <w:p>
      <w:pPr>
        <w:ind w:left="420"/>
        <w:rPr>
          <w:rFonts w:ascii="宋体" w:hAnsi="宋体" w:cs="宋体"/>
          <w:b/>
          <w:color w:val="FF0000"/>
          <w:kern w:val="0"/>
        </w:rPr>
      </w:pPr>
      <w:r>
        <w:rPr>
          <w:rFonts w:hint="eastAsia" w:ascii="宋体" w:hAnsi="宋体" w:cs="宋体"/>
          <w:b/>
          <w:color w:val="FF0000"/>
          <w:kern w:val="0"/>
        </w:rPr>
        <w:t>5）参与本项目投标前三年内，在经营活动中没有重大违法记录（由供应商在《应答承诺书》中作出声明）。</w:t>
      </w:r>
    </w:p>
    <w:p>
      <w:pPr>
        <w:ind w:left="420"/>
        <w:rPr>
          <w:rFonts w:ascii="宋体" w:hAnsi="宋体" w:cs="宋体"/>
          <w:b/>
          <w:color w:val="FF0000"/>
          <w:kern w:val="0"/>
        </w:rPr>
      </w:pPr>
      <w:r>
        <w:rPr>
          <w:rFonts w:hint="eastAsia" w:ascii="宋体" w:hAnsi="宋体" w:cs="宋体"/>
          <w:b/>
          <w:color w:val="FF0000"/>
          <w:kern w:val="0"/>
        </w:rPr>
        <w:t>6）参与本项目政府采购活动时不存在被有关部门禁止参与政府采购活动且在有效期内的情况（由供应商在《应答承诺书》中作出声明）；</w:t>
      </w:r>
    </w:p>
    <w:p>
      <w:pPr>
        <w:ind w:left="420"/>
        <w:rPr>
          <w:rFonts w:hint="eastAsia" w:ascii="宋体" w:hAnsi="宋体" w:cs="宋体"/>
          <w:b/>
          <w:color w:val="FF0000"/>
          <w:kern w:val="0"/>
        </w:rPr>
      </w:pPr>
      <w:r>
        <w:rPr>
          <w:rFonts w:hint="eastAsia" w:ascii="宋体" w:hAnsi="宋体" w:cs="宋体"/>
          <w:b/>
          <w:color w:val="FF0000"/>
          <w:kern w:val="0"/>
        </w:rPr>
        <w:t>7）参与政府采购项目投标的供应商未被列入失信被执行人、重大税收违法案件当事人名单、政府采购严重违法失信行为记录名单（由供应商在《应答承诺书》中作出声明）。</w:t>
      </w:r>
    </w:p>
    <w:p>
      <w:pPr>
        <w:pStyle w:val="2"/>
        <w:ind w:left="631" w:leftChars="200" w:hanging="211" w:hangingChars="100"/>
        <w:rPr>
          <w:rFonts w:hint="eastAsia" w:eastAsia="宋体"/>
          <w:lang w:val="en-US" w:eastAsia="zh-CN"/>
        </w:rPr>
      </w:pPr>
      <w:r>
        <w:rPr>
          <w:rFonts w:hint="eastAsia" w:ascii="宋体" w:hAnsi="宋体" w:cs="宋体"/>
          <w:b/>
          <w:color w:val="FF0000"/>
          <w:kern w:val="0"/>
          <w:lang w:val="en-US" w:eastAsia="zh-CN"/>
        </w:rPr>
        <w:t>*本次招标项目二“</w:t>
      </w:r>
      <w:r>
        <w:rPr>
          <w:rFonts w:hint="eastAsia" w:ascii="宋体" w:hAnsi="宋体" w:eastAsia="宋体" w:cs="宋体"/>
          <w:b/>
          <w:color w:val="FF0000"/>
          <w:kern w:val="0"/>
          <w:sz w:val="21"/>
          <w:szCs w:val="24"/>
          <w:lang w:val="en-US" w:eastAsia="zh-CN" w:bidi="ar-SA"/>
        </w:rPr>
        <w:t>脊柱减压治疗系统”</w:t>
      </w:r>
      <w:r>
        <w:rPr>
          <w:rFonts w:hint="eastAsia" w:ascii="宋体" w:hAnsi="宋体" w:cs="宋体"/>
          <w:b/>
          <w:color w:val="FF0000"/>
          <w:kern w:val="0"/>
          <w:lang w:val="en-US" w:eastAsia="zh-CN"/>
        </w:rPr>
        <w:t>为非</w:t>
      </w:r>
      <w:r>
        <w:rPr>
          <w:rFonts w:hint="eastAsia" w:ascii="宋体" w:hAnsi="宋体" w:cs="宋体"/>
          <w:b/>
          <w:color w:val="FF0000"/>
          <w:kern w:val="0"/>
        </w:rPr>
        <w:t>医疗器械</w:t>
      </w:r>
      <w:r>
        <w:rPr>
          <w:rFonts w:hint="eastAsia" w:ascii="宋体" w:hAnsi="宋体" w:cs="宋体"/>
          <w:b/>
          <w:color w:val="FF0000"/>
          <w:kern w:val="0"/>
          <w:lang w:eastAsia="zh-CN"/>
        </w:rPr>
        <w:t>，</w:t>
      </w:r>
      <w:r>
        <w:rPr>
          <w:rFonts w:hint="eastAsia" w:ascii="宋体" w:hAnsi="宋体" w:cs="宋体"/>
          <w:b/>
          <w:color w:val="FF0000"/>
          <w:kern w:val="0"/>
          <w:lang w:val="en-US" w:eastAsia="zh-CN"/>
        </w:rPr>
        <w:t>无须提供</w:t>
      </w:r>
      <w:r>
        <w:rPr>
          <w:rFonts w:hint="eastAsia" w:ascii="宋体" w:hAnsi="宋体" w:cs="宋体"/>
          <w:b/>
          <w:color w:val="FF0000"/>
          <w:kern w:val="0"/>
        </w:rPr>
        <w:t>《医疗器械生产企业许可证》</w:t>
      </w:r>
      <w:r>
        <w:rPr>
          <w:rFonts w:hint="eastAsia" w:ascii="宋体" w:hAnsi="宋体" w:cs="宋体"/>
          <w:b/>
          <w:color w:val="FF0000"/>
          <w:kern w:val="0"/>
          <w:lang w:eastAsia="zh-CN"/>
        </w:rPr>
        <w:t>、</w:t>
      </w:r>
      <w:r>
        <w:rPr>
          <w:rFonts w:hint="eastAsia" w:ascii="宋体" w:hAnsi="宋体" w:cs="宋体"/>
          <w:b/>
          <w:color w:val="FF0000"/>
          <w:kern w:val="0"/>
        </w:rPr>
        <w:t>《医疗器械经营企业许可证》</w:t>
      </w:r>
      <w:r>
        <w:rPr>
          <w:rFonts w:hint="eastAsia" w:ascii="宋体" w:hAnsi="宋体" w:cs="宋体"/>
          <w:b/>
          <w:color w:val="FF0000"/>
          <w:kern w:val="0"/>
          <w:lang w:eastAsia="zh-CN"/>
        </w:rPr>
        <w:t>、</w:t>
      </w:r>
      <w:r>
        <w:rPr>
          <w:rFonts w:hint="eastAsia" w:ascii="宋体" w:hAnsi="宋体" w:cs="宋体"/>
          <w:b/>
          <w:color w:val="FF0000"/>
          <w:kern w:val="0"/>
        </w:rPr>
        <w:t>《医疗器械注册（备案）证》</w:t>
      </w:r>
      <w:r>
        <w:rPr>
          <w:rFonts w:hint="eastAsia" w:ascii="宋体" w:hAnsi="宋体" w:cs="宋体"/>
          <w:b/>
          <w:color w:val="FF0000"/>
          <w:kern w:val="0"/>
          <w:lang w:val="en-US" w:eastAsia="zh-CN"/>
        </w:rPr>
        <w:t>等相关证明</w:t>
      </w:r>
      <w:r>
        <w:rPr>
          <w:rFonts w:hint="eastAsia" w:ascii="宋体" w:hAnsi="宋体" w:cs="宋体"/>
          <w:b/>
          <w:color w:val="FF0000"/>
          <w:kern w:val="0"/>
          <w:lang w:eastAsia="zh-CN"/>
        </w:rPr>
        <w:t>；</w:t>
      </w:r>
    </w:p>
    <w:p>
      <w:pPr>
        <w:tabs>
          <w:tab w:val="left" w:pos="420"/>
        </w:tabs>
        <w:rPr>
          <w:rFonts w:ascii="宋体" w:hAnsi="宋体" w:cs="宋体"/>
          <w:kern w:val="0"/>
          <w:szCs w:val="21"/>
        </w:rPr>
      </w:pPr>
      <w:r>
        <w:rPr>
          <w:rFonts w:hint="eastAsia" w:ascii="宋体" w:hAnsi="宋体" w:cs="宋体"/>
          <w:kern w:val="0"/>
          <w:szCs w:val="21"/>
        </w:rPr>
        <w:t>6</w:t>
      </w:r>
      <w:r>
        <w:rPr>
          <w:rFonts w:ascii="宋体" w:hAnsi="宋体" w:cs="宋体"/>
          <w:kern w:val="0"/>
          <w:szCs w:val="21"/>
        </w:rPr>
        <w:t>.</w:t>
      </w:r>
      <w:r>
        <w:rPr>
          <w:rFonts w:hint="eastAsia" w:ascii="宋体" w:hAnsi="宋体" w:cs="宋体"/>
          <w:kern w:val="0"/>
          <w:szCs w:val="21"/>
        </w:rPr>
        <w:t>答疑事项：凡对采购文件有任何疑问的（包括认为采购文件的技术指标或参数存在倾向性或不公正性条款），请在本公告公布期间登录深圳市罗湖区政府采购网（</w:t>
      </w:r>
      <w:r>
        <w:rPr>
          <w:rFonts w:cs="宋体"/>
          <w:kern w:val="0"/>
          <w:szCs w:val="21"/>
        </w:rPr>
        <w:t>http://lh.szzfcg.cn/</w:t>
      </w:r>
      <w:r>
        <w:rPr>
          <w:rFonts w:hint="eastAsia" w:cs="宋体"/>
          <w:kern w:val="0"/>
          <w:szCs w:val="21"/>
        </w:rPr>
        <w:t>）</w:t>
      </w:r>
      <w:r>
        <w:rPr>
          <w:rFonts w:hint="eastAsia" w:ascii="宋体" w:hAnsi="宋体" w:cs="宋体"/>
          <w:kern w:val="0"/>
          <w:szCs w:val="21"/>
        </w:rPr>
        <w:t>，在“自行采购”模块相关功能中填写疑问，逾期不予受理。</w:t>
      </w:r>
    </w:p>
    <w:p>
      <w:pPr>
        <w:tabs>
          <w:tab w:val="left" w:pos="420"/>
        </w:tabs>
        <w:rPr>
          <w:rFonts w:ascii="宋体" w:hAnsi="宋体" w:cs="宋体"/>
          <w:kern w:val="0"/>
          <w:szCs w:val="21"/>
        </w:rPr>
      </w:pPr>
      <w:r>
        <w:rPr>
          <w:rFonts w:hint="eastAsia" w:ascii="宋体" w:hAnsi="宋体" w:cs="宋体"/>
          <w:kern w:val="0"/>
          <w:szCs w:val="21"/>
        </w:rPr>
        <w:t>7</w:t>
      </w:r>
      <w:r>
        <w:rPr>
          <w:rFonts w:ascii="宋体" w:hAnsi="宋体" w:cs="宋体"/>
          <w:kern w:val="0"/>
          <w:szCs w:val="21"/>
        </w:rPr>
        <w:t>.</w:t>
      </w:r>
      <w:r>
        <w:rPr>
          <w:rFonts w:hint="eastAsia" w:ascii="宋体" w:hAnsi="宋体" w:cs="宋体"/>
          <w:kern w:val="0"/>
          <w:szCs w:val="21"/>
        </w:rPr>
        <w:t>本项目实行网上应答，采用电子应答文件。</w:t>
      </w:r>
    </w:p>
    <w:p>
      <w:pPr>
        <w:tabs>
          <w:tab w:val="left" w:pos="420"/>
        </w:tabs>
        <w:rPr>
          <w:rFonts w:ascii="宋体" w:hAnsi="宋体" w:cs="宋体"/>
          <w:kern w:val="0"/>
          <w:szCs w:val="21"/>
        </w:rPr>
      </w:pPr>
      <w:r>
        <w:rPr>
          <w:rFonts w:hint="eastAsia" w:ascii="宋体" w:hAnsi="宋体" w:cs="宋体"/>
          <w:kern w:val="0"/>
          <w:szCs w:val="21"/>
        </w:rPr>
        <w:t>8</w:t>
      </w:r>
      <w:r>
        <w:rPr>
          <w:rFonts w:ascii="宋体" w:hAnsi="宋体" w:cs="宋体"/>
          <w:kern w:val="0"/>
          <w:szCs w:val="21"/>
        </w:rPr>
        <w:t>.</w:t>
      </w:r>
      <w:r>
        <w:rPr>
          <w:rFonts w:hint="eastAsia" w:ascii="宋体" w:hAnsi="宋体" w:cs="宋体"/>
          <w:kern w:val="0"/>
          <w:szCs w:val="21"/>
        </w:rPr>
        <w:t>应答文件递交截止时间：2020年</w:t>
      </w:r>
      <w:r>
        <w:rPr>
          <w:rFonts w:hint="eastAsia" w:ascii="宋体" w:hAnsi="宋体" w:cs="宋体"/>
          <w:kern w:val="0"/>
          <w:szCs w:val="21"/>
          <w:lang w:val="en-US" w:eastAsia="zh-CN"/>
        </w:rPr>
        <w:t>4</w:t>
      </w:r>
      <w:r>
        <w:rPr>
          <w:rFonts w:hint="eastAsia" w:ascii="宋体" w:hAnsi="宋体" w:cs="宋体"/>
          <w:kern w:val="0"/>
          <w:szCs w:val="21"/>
        </w:rPr>
        <w:t>月</w:t>
      </w:r>
      <w:r>
        <w:rPr>
          <w:rFonts w:hint="eastAsia" w:ascii="宋体" w:hAnsi="宋体" w:cs="宋体"/>
          <w:kern w:val="0"/>
          <w:szCs w:val="21"/>
          <w:lang w:val="en-US" w:eastAsia="zh-CN"/>
        </w:rPr>
        <w:t>1</w:t>
      </w:r>
      <w:r>
        <w:rPr>
          <w:rFonts w:hint="eastAsia" w:ascii="宋体" w:hAnsi="宋体" w:cs="宋体"/>
          <w:kern w:val="0"/>
          <w:szCs w:val="21"/>
        </w:rPr>
        <w:t>日</w:t>
      </w:r>
      <w:r>
        <w:rPr>
          <w:rFonts w:hint="eastAsia" w:ascii="宋体" w:hAnsi="宋体" w:cs="宋体"/>
          <w:kern w:val="0"/>
          <w:szCs w:val="21"/>
          <w:lang w:val="en-US" w:eastAsia="zh-CN"/>
        </w:rPr>
        <w:t>9</w:t>
      </w:r>
      <w:r>
        <w:rPr>
          <w:rFonts w:hint="eastAsia" w:ascii="宋体" w:hAnsi="宋体" w:cs="宋体"/>
          <w:kern w:val="0"/>
          <w:szCs w:val="21"/>
        </w:rPr>
        <w:t>：30</w:t>
      </w:r>
      <w:r>
        <w:rPr>
          <w:rFonts w:hint="eastAsia" w:ascii="宋体" w:hAnsi="宋体" w:cs="宋体"/>
          <w:kern w:val="0"/>
          <w:szCs w:val="21"/>
        </w:rPr>
        <w:br w:type="textWrapping"/>
      </w:r>
      <w:r>
        <w:rPr>
          <w:rFonts w:hint="eastAsia" w:ascii="宋体" w:hAnsi="宋体" w:cs="宋体"/>
          <w:kern w:val="0"/>
          <w:szCs w:val="21"/>
        </w:rPr>
        <w:t>电子版应答文件应于本公告公布的截止时间之前，用“自行采购”相关功能点上传到深圳市罗湖区政府采购网自行采购模块（</w:t>
      </w:r>
      <w:r>
        <w:fldChar w:fldCharType="begin"/>
      </w:r>
      <w:r>
        <w:instrText xml:space="preserve"> HYPERLINK "http://lh.szzfcg.cn/" </w:instrText>
      </w:r>
      <w:r>
        <w:fldChar w:fldCharType="separate"/>
      </w:r>
      <w:r>
        <w:rPr>
          <w:rStyle w:val="39"/>
          <w:rFonts w:hint="default" w:ascii="Times New Roman" w:hAnsi="Times New Roman"/>
          <w:sz w:val="21"/>
          <w:szCs w:val="21"/>
          <w:lang w:eastAsia="zh-CN"/>
        </w:rPr>
        <w:t>http://lh.szzfcg.cn/</w:t>
      </w:r>
      <w:r>
        <w:rPr>
          <w:rStyle w:val="39"/>
          <w:rFonts w:hint="default" w:ascii="Times New Roman" w:hAnsi="Times New Roman"/>
          <w:sz w:val="21"/>
          <w:szCs w:val="21"/>
          <w:lang w:eastAsia="zh-CN"/>
        </w:rPr>
        <w:fldChar w:fldCharType="end"/>
      </w:r>
      <w:r>
        <w:rPr>
          <w:rFonts w:hint="eastAsia" w:cs="宋体"/>
          <w:kern w:val="0"/>
          <w:szCs w:val="21"/>
        </w:rPr>
        <w:t>）</w:t>
      </w:r>
      <w:r>
        <w:rPr>
          <w:rFonts w:hint="eastAsia" w:ascii="宋体" w:hAnsi="宋体" w:cs="宋体"/>
          <w:kern w:val="0"/>
          <w:szCs w:val="21"/>
        </w:rPr>
        <w:t>。</w:t>
      </w:r>
    </w:p>
    <w:p>
      <w:pPr>
        <w:tabs>
          <w:tab w:val="left" w:pos="420"/>
        </w:tabs>
        <w:rPr>
          <w:rFonts w:ascii="宋体" w:hAnsi="宋体" w:cs="宋体"/>
          <w:kern w:val="0"/>
          <w:szCs w:val="21"/>
        </w:rPr>
      </w:pPr>
      <w:r>
        <w:rPr>
          <w:rFonts w:hint="eastAsia" w:ascii="宋体" w:hAnsi="宋体" w:cs="宋体"/>
          <w:kern w:val="0"/>
          <w:szCs w:val="21"/>
        </w:rPr>
        <w:t>9</w:t>
      </w:r>
      <w:r>
        <w:rPr>
          <w:rFonts w:ascii="宋体" w:hAnsi="宋体" w:cs="宋体"/>
          <w:kern w:val="0"/>
          <w:szCs w:val="21"/>
        </w:rPr>
        <w:t>.</w:t>
      </w:r>
      <w:r>
        <w:rPr>
          <w:rFonts w:hint="eastAsia" w:ascii="宋体" w:hAnsi="宋体" w:cs="宋体"/>
          <w:kern w:val="0"/>
          <w:szCs w:val="21"/>
        </w:rPr>
        <w:t>评审时间：2020年</w:t>
      </w:r>
      <w:r>
        <w:rPr>
          <w:rFonts w:hint="eastAsia" w:ascii="宋体" w:hAnsi="宋体" w:cs="宋体"/>
          <w:kern w:val="0"/>
          <w:szCs w:val="21"/>
          <w:lang w:val="en-US" w:eastAsia="zh-CN"/>
        </w:rPr>
        <w:t>4</w:t>
      </w:r>
      <w:r>
        <w:rPr>
          <w:rFonts w:hint="eastAsia" w:ascii="宋体" w:hAnsi="宋体" w:cs="宋体"/>
          <w:kern w:val="0"/>
          <w:szCs w:val="21"/>
        </w:rPr>
        <w:t>月</w:t>
      </w:r>
      <w:r>
        <w:rPr>
          <w:rFonts w:hint="eastAsia" w:ascii="宋体" w:hAnsi="宋体" w:cs="宋体"/>
          <w:kern w:val="0"/>
          <w:szCs w:val="21"/>
          <w:lang w:val="en-US" w:eastAsia="zh-CN"/>
        </w:rPr>
        <w:t>1</w:t>
      </w:r>
      <w:r>
        <w:rPr>
          <w:rFonts w:hint="eastAsia" w:ascii="宋体" w:hAnsi="宋体" w:cs="宋体"/>
          <w:kern w:val="0"/>
          <w:szCs w:val="21"/>
        </w:rPr>
        <w:t>日</w:t>
      </w:r>
      <w:r>
        <w:rPr>
          <w:rFonts w:hint="eastAsia" w:ascii="宋体" w:hAnsi="宋体" w:cs="宋体"/>
          <w:kern w:val="0"/>
          <w:szCs w:val="21"/>
          <w:lang w:val="en-US" w:eastAsia="zh-CN"/>
        </w:rPr>
        <w:t>9</w:t>
      </w:r>
      <w:r>
        <w:rPr>
          <w:rFonts w:hint="eastAsia" w:ascii="宋体" w:hAnsi="宋体" w:cs="宋体"/>
          <w:kern w:val="0"/>
          <w:szCs w:val="21"/>
        </w:rPr>
        <w:t>：30</w:t>
      </w:r>
    </w:p>
    <w:p>
      <w:pPr>
        <w:tabs>
          <w:tab w:val="left" w:pos="420"/>
        </w:tabs>
        <w:rPr>
          <w:rFonts w:ascii="宋体" w:hAnsi="宋体" w:cs="宋体"/>
          <w:kern w:val="0"/>
          <w:szCs w:val="21"/>
        </w:rPr>
      </w:pPr>
      <w:r>
        <w:rPr>
          <w:rFonts w:hint="eastAsia" w:ascii="宋体" w:hAnsi="宋体" w:cs="宋体"/>
          <w:kern w:val="0"/>
          <w:szCs w:val="21"/>
        </w:rPr>
        <w:t>10</w:t>
      </w:r>
      <w:r>
        <w:rPr>
          <w:rFonts w:ascii="宋体" w:hAnsi="宋体" w:cs="宋体"/>
          <w:kern w:val="0"/>
          <w:szCs w:val="21"/>
        </w:rPr>
        <w:t>.</w:t>
      </w:r>
      <w:r>
        <w:rPr>
          <w:rFonts w:hint="eastAsia" w:ascii="宋体" w:hAnsi="宋体" w:cs="宋体"/>
          <w:kern w:val="0"/>
          <w:szCs w:val="21"/>
        </w:rPr>
        <w:t>重要提示：</w:t>
      </w:r>
    </w:p>
    <w:p>
      <w:pPr>
        <w:rPr>
          <w:rFonts w:ascii="宋体" w:hAnsi="宋体" w:cs="宋体"/>
          <w:kern w:val="0"/>
          <w:szCs w:val="21"/>
        </w:rPr>
      </w:pPr>
      <w:r>
        <w:rPr>
          <w:rFonts w:hint="eastAsia" w:ascii="宋体" w:hAnsi="宋体" w:cs="宋体"/>
          <w:kern w:val="0"/>
          <w:szCs w:val="21"/>
        </w:rPr>
        <w:t>（1）供应商办理注册等相关事宜均在深圳市政府采购中心进行（地址：深圳市福田区景田东路9号财政大厦附楼，联系电话：0755-83938966），深圳市罗湖区政府采购中心不受理。</w:t>
      </w:r>
    </w:p>
    <w:p>
      <w:pPr>
        <w:rPr>
          <w:rFonts w:ascii="宋体" w:hAnsi="宋体" w:cs="宋体"/>
          <w:kern w:val="0"/>
          <w:szCs w:val="21"/>
        </w:rPr>
      </w:pPr>
      <w:r>
        <w:rPr>
          <w:rFonts w:hint="eastAsia" w:ascii="宋体" w:hAnsi="宋体" w:cs="宋体"/>
          <w:color w:val="000000"/>
          <w:kern w:val="0"/>
          <w:szCs w:val="21"/>
        </w:rPr>
        <w:t>（2）如供应商在网上做出响应，后又不参与应答的，请自觉在开标前24小时做“撤销”</w:t>
      </w:r>
      <w:r>
        <w:rPr>
          <w:rFonts w:hint="eastAsia" w:ascii="宋体" w:hAnsi="宋体" w:cs="宋体"/>
          <w:kern w:val="0"/>
          <w:szCs w:val="21"/>
        </w:rPr>
        <w:t>响应，否则，深圳市罗湖区政府物料供应中心将对供应商按不良记录进行处理。</w:t>
      </w:r>
    </w:p>
    <w:p>
      <w:pPr>
        <w:rPr>
          <w:rFonts w:ascii="宋体" w:hAnsi="宋体" w:cs="宋体"/>
          <w:color w:val="000000"/>
          <w:kern w:val="0"/>
          <w:szCs w:val="21"/>
        </w:rPr>
      </w:pPr>
      <w:r>
        <w:rPr>
          <w:rFonts w:hint="eastAsia" w:ascii="宋体" w:hAnsi="宋体" w:cs="宋体"/>
          <w:color w:val="000000"/>
          <w:kern w:val="0"/>
          <w:szCs w:val="21"/>
        </w:rPr>
        <w:t>（3）建议各供应商的应答文件应控制在100M以内，超过100M的应答文件将有可能无法成功上传。</w:t>
      </w:r>
    </w:p>
    <w:p>
      <w:pPr>
        <w:rPr>
          <w:rFonts w:ascii="宋体" w:hAnsi="宋体" w:cs="宋体"/>
          <w:color w:val="000000"/>
          <w:kern w:val="0"/>
          <w:szCs w:val="21"/>
        </w:rPr>
      </w:pPr>
      <w:r>
        <w:rPr>
          <w:rFonts w:hint="eastAsia" w:ascii="宋体" w:hAnsi="宋体" w:cs="宋体"/>
          <w:color w:val="000000"/>
          <w:kern w:val="0"/>
          <w:szCs w:val="21"/>
        </w:rPr>
        <w:t>（4）成交公告发布并公示一个工作日后，请中标(成交)供应商到政府物料供应中心领取中标(成交)通知书。</w:t>
      </w:r>
    </w:p>
    <w:p>
      <w:pPr>
        <w:rPr>
          <w:rFonts w:ascii="宋体" w:hAnsi="宋体" w:cs="宋体"/>
          <w:kern w:val="0"/>
          <w:szCs w:val="21"/>
        </w:rPr>
      </w:pPr>
      <w:r>
        <w:rPr>
          <w:rFonts w:hint="eastAsia" w:ascii="宋体" w:hAnsi="宋体" w:cs="宋体"/>
          <w:kern w:val="0"/>
          <w:szCs w:val="21"/>
        </w:rPr>
        <w:t>11．</w:t>
      </w:r>
      <w:r>
        <w:rPr>
          <w:rFonts w:ascii="宋体" w:hAnsi="宋体" w:cs="宋体"/>
          <w:kern w:val="0"/>
          <w:szCs w:val="21"/>
        </w:rPr>
        <w:t>技术支持：如</w:t>
      </w:r>
      <w:r>
        <w:rPr>
          <w:rFonts w:hint="eastAsia" w:ascii="宋体" w:hAnsi="宋体" w:cs="宋体"/>
          <w:kern w:val="0"/>
          <w:szCs w:val="21"/>
        </w:rPr>
        <w:t>有任何疑问</w:t>
      </w:r>
      <w:r>
        <w:rPr>
          <w:rFonts w:ascii="宋体" w:hAnsi="宋体" w:cs="宋体"/>
          <w:kern w:val="0"/>
          <w:szCs w:val="21"/>
        </w:rPr>
        <w:t>，请与我们联系：</w:t>
      </w:r>
    </w:p>
    <w:tbl>
      <w:tblPr>
        <w:tblStyle w:val="41"/>
        <w:tblW w:w="8130" w:type="dxa"/>
        <w:jc w:val="center"/>
        <w:tblCellSpacing w:w="0" w:type="dxa"/>
        <w:tblInd w:w="0" w:type="dxa"/>
        <w:tblLayout w:type="fixed"/>
        <w:tblCellMar>
          <w:top w:w="0" w:type="dxa"/>
          <w:left w:w="0" w:type="dxa"/>
          <w:bottom w:w="0" w:type="dxa"/>
          <w:right w:w="0" w:type="dxa"/>
        </w:tblCellMar>
      </w:tblPr>
      <w:tblGrid>
        <w:gridCol w:w="4232"/>
        <w:gridCol w:w="3898"/>
      </w:tblGrid>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（1）深圳市政府采购中心联系方式：</w:t>
            </w:r>
          </w:p>
        </w:tc>
        <w:tc>
          <w:tcPr>
            <w:tcW w:w="3898" w:type="dxa"/>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注册咨询：</w:t>
            </w:r>
          </w:p>
        </w:tc>
        <w:tc>
          <w:tcPr>
            <w:tcW w:w="3898" w:type="dxa"/>
            <w:vAlign w:val="center"/>
          </w:tcPr>
          <w:p>
            <w:pPr>
              <w:widowControl/>
              <w:jc w:val="left"/>
              <w:rPr>
                <w:rFonts w:ascii="宋体" w:hAnsi="宋体" w:cs="宋体"/>
                <w:kern w:val="0"/>
                <w:szCs w:val="21"/>
              </w:rPr>
            </w:pPr>
            <w:r>
              <w:rPr>
                <w:rFonts w:ascii="宋体" w:hAnsi="宋体" w:cs="宋体"/>
                <w:kern w:val="0"/>
                <w:szCs w:val="21"/>
              </w:rPr>
              <w:t>0755-83938966</w:t>
            </w:r>
          </w:p>
        </w:tc>
      </w:tr>
      <w:tr>
        <w:tblPrEx>
          <w:tblLayout w:type="fixed"/>
          <w:tblCellMar>
            <w:top w:w="0" w:type="dxa"/>
            <w:left w:w="0" w:type="dxa"/>
            <w:bottom w:w="0" w:type="dxa"/>
            <w:right w:w="0" w:type="dxa"/>
          </w:tblCellMar>
        </w:tblPrEx>
        <w:trPr>
          <w:trHeight w:val="394" w:hRule="atLeast"/>
          <w:tblCellSpacing w:w="0" w:type="dxa"/>
          <w:jc w:val="center"/>
        </w:trPr>
        <w:tc>
          <w:tcPr>
            <w:tcW w:w="4232" w:type="dxa"/>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（2）深圳市罗湖区政府采购中心联系方式：</w:t>
            </w:r>
          </w:p>
        </w:tc>
        <w:tc>
          <w:tcPr>
            <w:tcW w:w="3898" w:type="dxa"/>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详细地址：</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深圳市罗湖区深南东路1076号党群服务中心</w:t>
            </w:r>
          </w:p>
        </w:tc>
      </w:tr>
      <w:tr>
        <w:tblPrEx>
          <w:tblLayout w:type="fixed"/>
          <w:tblCellMar>
            <w:top w:w="0" w:type="dxa"/>
            <w:left w:w="0" w:type="dxa"/>
            <w:bottom w:w="0" w:type="dxa"/>
            <w:right w:w="0" w:type="dxa"/>
          </w:tblCellMar>
        </w:tblPrEx>
        <w:trPr>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邮政编码：</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51800</w:t>
            </w:r>
            <w:r>
              <w:rPr>
                <w:rFonts w:ascii="宋体" w:hAnsi="宋体" w:cs="宋体"/>
                <w:kern w:val="0"/>
                <w:szCs w:val="21"/>
              </w:rPr>
              <w:t>0</w:t>
            </w:r>
          </w:p>
        </w:tc>
      </w:tr>
      <w:tr>
        <w:tblPrEx>
          <w:tblLayout w:type="fixed"/>
          <w:tblCellMar>
            <w:top w:w="0" w:type="dxa"/>
            <w:left w:w="0" w:type="dxa"/>
            <w:bottom w:w="0" w:type="dxa"/>
            <w:right w:w="0" w:type="dxa"/>
          </w:tblCellMar>
        </w:tblPrEx>
        <w:trPr>
          <w:trHeight w:val="221" w:hRule="atLeast"/>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传真电话：</w:t>
            </w:r>
          </w:p>
        </w:tc>
        <w:tc>
          <w:tcPr>
            <w:tcW w:w="3898" w:type="dxa"/>
            <w:vAlign w:val="center"/>
          </w:tcPr>
          <w:p>
            <w:pPr>
              <w:widowControl/>
              <w:jc w:val="left"/>
              <w:rPr>
                <w:rFonts w:ascii="宋体" w:hAnsi="宋体" w:cs="宋体"/>
                <w:kern w:val="0"/>
                <w:szCs w:val="21"/>
              </w:rPr>
            </w:pPr>
            <w:r>
              <w:rPr>
                <w:rFonts w:hint="eastAsia" w:ascii="宋体" w:hAnsi="宋体" w:cs="宋体"/>
                <w:kern w:val="0"/>
                <w:szCs w:val="21"/>
              </w:rPr>
              <w:t>0755-82255111</w:t>
            </w:r>
          </w:p>
        </w:tc>
      </w:tr>
      <w:tr>
        <w:tblPrEx>
          <w:tblLayout w:type="fixed"/>
          <w:tblCellMar>
            <w:top w:w="0" w:type="dxa"/>
            <w:left w:w="0" w:type="dxa"/>
            <w:bottom w:w="0" w:type="dxa"/>
            <w:right w:w="0" w:type="dxa"/>
          </w:tblCellMar>
        </w:tblPrEx>
        <w:trPr>
          <w:trHeight w:val="105" w:hRule="atLeast"/>
          <w:tblCellSpacing w:w="0" w:type="dxa"/>
          <w:jc w:val="center"/>
        </w:trPr>
        <w:tc>
          <w:tcPr>
            <w:tcW w:w="4232" w:type="dxa"/>
            <w:vAlign w:val="center"/>
          </w:tcPr>
          <w:p>
            <w:pPr>
              <w:widowControl/>
              <w:ind w:firstLine="735" w:firstLineChars="350"/>
              <w:jc w:val="left"/>
              <w:rPr>
                <w:rFonts w:ascii="宋体" w:hAnsi="宋体" w:cs="宋体"/>
                <w:kern w:val="0"/>
                <w:szCs w:val="21"/>
              </w:rPr>
            </w:pPr>
            <w:r>
              <w:rPr>
                <w:rFonts w:hint="eastAsia" w:ascii="宋体" w:hAnsi="宋体" w:cs="宋体"/>
                <w:kern w:val="0"/>
                <w:szCs w:val="21"/>
              </w:rPr>
              <w:t>联系电话（技术咨询）：</w:t>
            </w:r>
          </w:p>
        </w:tc>
        <w:tc>
          <w:tcPr>
            <w:tcW w:w="3898" w:type="dxa"/>
            <w:vAlign w:val="center"/>
          </w:tcPr>
          <w:p>
            <w:pPr>
              <w:widowControl/>
              <w:jc w:val="left"/>
              <w:rPr>
                <w:rFonts w:ascii="宋体" w:hAnsi="宋体" w:cs="宋体"/>
                <w:kern w:val="0"/>
                <w:szCs w:val="21"/>
              </w:rPr>
            </w:pPr>
            <w:r>
              <w:rPr>
                <w:rFonts w:ascii="宋体" w:hAnsi="宋体" w:cs="宋体"/>
                <w:kern w:val="0"/>
                <w:szCs w:val="21"/>
              </w:rPr>
              <w:t>0</w:t>
            </w:r>
            <w:r>
              <w:rPr>
                <w:rFonts w:hint="eastAsia" w:ascii="宋体" w:hAnsi="宋体" w:cs="宋体"/>
                <w:kern w:val="0"/>
                <w:szCs w:val="21"/>
              </w:rPr>
              <w:t>755-82201873</w:t>
            </w:r>
          </w:p>
        </w:tc>
      </w:tr>
    </w:tbl>
    <w:p>
      <w:pPr>
        <w:ind w:firstLine="210" w:firstLineChars="100"/>
        <w:rPr>
          <w:rFonts w:ascii="宋体" w:hAnsi="宋体" w:cs="宋体"/>
          <w:kern w:val="0"/>
          <w:szCs w:val="21"/>
        </w:rPr>
      </w:pPr>
      <w:r>
        <w:rPr>
          <w:rFonts w:hint="eastAsia" w:ascii="宋体" w:hAnsi="宋体" w:cs="宋体"/>
          <w:kern w:val="0"/>
          <w:szCs w:val="21"/>
        </w:rPr>
        <w:t>（3）采购人及代理机构的联系方式：</w:t>
      </w:r>
    </w:p>
    <w:tbl>
      <w:tblPr>
        <w:tblStyle w:val="41"/>
        <w:tblW w:w="8130" w:type="dxa"/>
        <w:jc w:val="center"/>
        <w:tblCellSpacing w:w="0" w:type="dxa"/>
        <w:tblInd w:w="0" w:type="dxa"/>
        <w:tblLayout w:type="fixed"/>
        <w:tblCellMar>
          <w:top w:w="0" w:type="dxa"/>
          <w:left w:w="0" w:type="dxa"/>
          <w:bottom w:w="0" w:type="dxa"/>
          <w:right w:w="0" w:type="dxa"/>
        </w:tblCellMar>
      </w:tblPr>
      <w:tblGrid>
        <w:gridCol w:w="2070"/>
        <w:gridCol w:w="6060"/>
      </w:tblGrid>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采购人联系方式</w:t>
            </w:r>
          </w:p>
        </w:tc>
        <w:tc>
          <w:tcPr>
            <w:tcW w:w="6060" w:type="dxa"/>
            <w:vAlign w:val="center"/>
          </w:tcPr>
          <w:p>
            <w:pPr>
              <w:tabs>
                <w:tab w:val="left" w:pos="420"/>
              </w:tabs>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单位名称：</w:t>
            </w:r>
          </w:p>
        </w:tc>
        <w:tc>
          <w:tcPr>
            <w:tcW w:w="6060" w:type="dxa"/>
            <w:vAlign w:val="center"/>
          </w:tcPr>
          <w:p>
            <w:pPr>
              <w:tabs>
                <w:tab w:val="left" w:pos="420"/>
              </w:tabs>
              <w:rPr>
                <w:rFonts w:ascii="宋体" w:hAnsi="宋体" w:cs="宋体"/>
                <w:kern w:val="0"/>
                <w:szCs w:val="21"/>
              </w:rPr>
            </w:pPr>
            <w:r>
              <w:rPr>
                <w:rFonts w:hint="eastAsia" w:ascii="宋体" w:hAnsi="宋体" w:cs="宋体"/>
                <w:kern w:val="0"/>
                <w:szCs w:val="21"/>
              </w:rPr>
              <w:t>深圳市罗湖区政府物料供应中心</w:t>
            </w:r>
          </w:p>
        </w:tc>
      </w:tr>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地址：</w:t>
            </w:r>
          </w:p>
        </w:tc>
        <w:tc>
          <w:tcPr>
            <w:tcW w:w="6060" w:type="dxa"/>
            <w:vAlign w:val="center"/>
          </w:tcPr>
          <w:p>
            <w:pPr>
              <w:tabs>
                <w:tab w:val="left" w:pos="420"/>
              </w:tabs>
              <w:rPr>
                <w:rFonts w:ascii="宋体" w:hAnsi="宋体" w:cs="宋体"/>
                <w:kern w:val="0"/>
                <w:szCs w:val="21"/>
              </w:rPr>
            </w:pPr>
            <w:r>
              <w:rPr>
                <w:rFonts w:hint="eastAsia" w:ascii="宋体" w:hAnsi="宋体" w:cs="宋体"/>
                <w:kern w:val="0"/>
                <w:szCs w:val="21"/>
              </w:rPr>
              <w:t>深南东路1076号党群服务中心8楼</w:t>
            </w:r>
          </w:p>
        </w:tc>
      </w:tr>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联系人：</w:t>
            </w:r>
          </w:p>
        </w:tc>
        <w:tc>
          <w:tcPr>
            <w:tcW w:w="6060" w:type="dxa"/>
            <w:vAlign w:val="center"/>
          </w:tcPr>
          <w:p>
            <w:pPr>
              <w:tabs>
                <w:tab w:val="left" w:pos="420"/>
              </w:tabs>
              <w:rPr>
                <w:rFonts w:ascii="宋体" w:hAnsi="宋体" w:cs="宋体"/>
                <w:kern w:val="0"/>
                <w:szCs w:val="21"/>
              </w:rPr>
            </w:pPr>
            <w:r>
              <w:rPr>
                <w:rFonts w:hint="eastAsia" w:ascii="宋体" w:hAnsi="宋体" w:cs="宋体"/>
                <w:kern w:val="0"/>
                <w:szCs w:val="21"/>
              </w:rPr>
              <w:t xml:space="preserve">邬工             </w:t>
            </w:r>
          </w:p>
        </w:tc>
      </w:tr>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联系电话：</w:t>
            </w:r>
          </w:p>
        </w:tc>
        <w:tc>
          <w:tcPr>
            <w:tcW w:w="6060" w:type="dxa"/>
            <w:vAlign w:val="center"/>
          </w:tcPr>
          <w:p>
            <w:pPr>
              <w:tabs>
                <w:tab w:val="left" w:pos="420"/>
              </w:tabs>
              <w:rPr>
                <w:rFonts w:ascii="宋体" w:hAnsi="宋体" w:cs="宋体"/>
                <w:kern w:val="0"/>
                <w:szCs w:val="21"/>
              </w:rPr>
            </w:pPr>
            <w:r>
              <w:rPr>
                <w:rFonts w:hint="eastAsia" w:ascii="宋体" w:hAnsi="宋体" w:cs="宋体"/>
                <w:kern w:val="0"/>
                <w:szCs w:val="21"/>
              </w:rPr>
              <w:t xml:space="preserve">0755-82239962        </w:t>
            </w:r>
          </w:p>
        </w:tc>
      </w:tr>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采购代理机构</w:t>
            </w:r>
          </w:p>
        </w:tc>
        <w:tc>
          <w:tcPr>
            <w:tcW w:w="6060" w:type="dxa"/>
            <w:vAlign w:val="center"/>
          </w:tcPr>
          <w:p>
            <w:pPr>
              <w:tabs>
                <w:tab w:val="left" w:pos="420"/>
              </w:tabs>
              <w:rPr>
                <w:rFonts w:ascii="宋体" w:hAnsi="宋体" w:cs="宋体"/>
                <w:kern w:val="0"/>
                <w:szCs w:val="21"/>
              </w:rPr>
            </w:pPr>
          </w:p>
        </w:tc>
      </w:tr>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单位名称：</w:t>
            </w:r>
          </w:p>
        </w:tc>
        <w:tc>
          <w:tcPr>
            <w:tcW w:w="6060" w:type="dxa"/>
            <w:vAlign w:val="center"/>
          </w:tcPr>
          <w:p>
            <w:pPr>
              <w:tabs>
                <w:tab w:val="left" w:pos="420"/>
              </w:tabs>
              <w:rPr>
                <w:rFonts w:ascii="宋体" w:hAnsi="宋体" w:cs="宋体"/>
                <w:kern w:val="0"/>
                <w:szCs w:val="21"/>
              </w:rPr>
            </w:pPr>
            <w:r>
              <w:rPr>
                <w:rFonts w:hint="eastAsia" w:ascii="宋体" w:hAnsi="宋体" w:cs="宋体"/>
                <w:kern w:val="0"/>
                <w:szCs w:val="21"/>
              </w:rPr>
              <w:t xml:space="preserve">三方诚信招标有限公司                   </w:t>
            </w:r>
          </w:p>
        </w:tc>
      </w:tr>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地址：</w:t>
            </w:r>
          </w:p>
        </w:tc>
        <w:tc>
          <w:tcPr>
            <w:tcW w:w="6060" w:type="dxa"/>
            <w:vAlign w:val="center"/>
          </w:tcPr>
          <w:p>
            <w:pPr>
              <w:tabs>
                <w:tab w:val="left" w:pos="420"/>
              </w:tabs>
              <w:rPr>
                <w:rFonts w:ascii="宋体" w:hAnsi="宋体" w:cs="宋体"/>
                <w:kern w:val="0"/>
                <w:szCs w:val="21"/>
              </w:rPr>
            </w:pPr>
            <w:r>
              <w:rPr>
                <w:rFonts w:hint="eastAsia" w:ascii="宋体" w:hAnsi="宋体" w:cs="宋体"/>
                <w:kern w:val="0"/>
                <w:szCs w:val="21"/>
              </w:rPr>
              <w:t xml:space="preserve">深圳市福田区泰然九路金润大厦7层E单元              </w:t>
            </w:r>
          </w:p>
        </w:tc>
      </w:tr>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联系人：</w:t>
            </w:r>
          </w:p>
        </w:tc>
        <w:tc>
          <w:tcPr>
            <w:tcW w:w="6060" w:type="dxa"/>
            <w:vAlign w:val="center"/>
          </w:tcPr>
          <w:p>
            <w:pPr>
              <w:tabs>
                <w:tab w:val="left" w:pos="420"/>
              </w:tabs>
              <w:rPr>
                <w:rFonts w:ascii="宋体" w:hAnsi="宋体" w:cs="宋体"/>
                <w:kern w:val="0"/>
                <w:szCs w:val="21"/>
              </w:rPr>
            </w:pPr>
            <w:r>
              <w:rPr>
                <w:rFonts w:hint="eastAsia" w:ascii="宋体" w:hAnsi="宋体" w:cs="宋体"/>
                <w:kern w:val="0"/>
                <w:szCs w:val="21"/>
              </w:rPr>
              <w:t xml:space="preserve">陈工            </w:t>
            </w:r>
          </w:p>
        </w:tc>
      </w:tr>
      <w:tr>
        <w:tblPrEx>
          <w:tblLayout w:type="fixed"/>
          <w:tblCellMar>
            <w:top w:w="0" w:type="dxa"/>
            <w:left w:w="0" w:type="dxa"/>
            <w:bottom w:w="0" w:type="dxa"/>
            <w:right w:w="0" w:type="dxa"/>
          </w:tblCellMar>
        </w:tblPrEx>
        <w:trPr>
          <w:tblCellSpacing w:w="0" w:type="dxa"/>
          <w:jc w:val="center"/>
        </w:trPr>
        <w:tc>
          <w:tcPr>
            <w:tcW w:w="2070" w:type="dxa"/>
            <w:vAlign w:val="center"/>
          </w:tcPr>
          <w:p>
            <w:pPr>
              <w:tabs>
                <w:tab w:val="left" w:pos="420"/>
              </w:tabs>
              <w:rPr>
                <w:rFonts w:ascii="宋体" w:hAnsi="宋体" w:cs="宋体"/>
                <w:kern w:val="0"/>
                <w:szCs w:val="21"/>
              </w:rPr>
            </w:pPr>
            <w:r>
              <w:rPr>
                <w:rFonts w:hint="eastAsia" w:ascii="宋体" w:hAnsi="宋体" w:cs="宋体"/>
                <w:kern w:val="0"/>
                <w:szCs w:val="21"/>
              </w:rPr>
              <w:t>联系电话：</w:t>
            </w:r>
          </w:p>
        </w:tc>
        <w:tc>
          <w:tcPr>
            <w:tcW w:w="6060" w:type="dxa"/>
            <w:vAlign w:val="center"/>
          </w:tcPr>
          <w:p>
            <w:pPr>
              <w:tabs>
                <w:tab w:val="left" w:pos="420"/>
              </w:tabs>
              <w:rPr>
                <w:rFonts w:ascii="宋体" w:hAnsi="宋体" w:cs="宋体"/>
                <w:kern w:val="0"/>
                <w:szCs w:val="21"/>
              </w:rPr>
            </w:pPr>
            <w:r>
              <w:rPr>
                <w:rFonts w:hint="eastAsia" w:ascii="宋体" w:hAnsi="宋体" w:cs="宋体"/>
                <w:kern w:val="0"/>
                <w:szCs w:val="21"/>
              </w:rPr>
              <w:t xml:space="preserve">0755-82800088-835              </w:t>
            </w:r>
          </w:p>
        </w:tc>
      </w:tr>
    </w:tbl>
    <w:p>
      <w:pPr>
        <w:jc w:val="right"/>
        <w:rPr>
          <w:rFonts w:ascii="宋体" w:hAnsi="宋体" w:cs="宋体"/>
          <w:kern w:val="0"/>
          <w:szCs w:val="21"/>
        </w:rPr>
      </w:pPr>
      <w:r>
        <w:rPr>
          <w:rFonts w:hint="eastAsia" w:ascii="宋体" w:hAnsi="宋体" w:cs="宋体"/>
          <w:kern w:val="0"/>
          <w:szCs w:val="21"/>
        </w:rPr>
        <w:t>深圳市罗湖区政府物料供应中心</w:t>
      </w:r>
    </w:p>
    <w:p>
      <w:pPr>
        <w:pStyle w:val="2"/>
        <w:rPr>
          <w:rFonts w:ascii="宋体" w:hAnsi="宋体" w:cs="宋体"/>
          <w:kern w:val="0"/>
          <w:szCs w:val="21"/>
        </w:rPr>
      </w:pPr>
    </w:p>
    <w:p>
      <w:pPr>
        <w:pStyle w:val="2"/>
        <w:rPr>
          <w:rFonts w:ascii="宋体" w:hAnsi="宋体" w:cs="宋体"/>
          <w:kern w:val="0"/>
          <w:szCs w:val="21"/>
        </w:rPr>
      </w:pPr>
    </w:p>
    <w:p>
      <w:pPr>
        <w:pStyle w:val="2"/>
        <w:rPr>
          <w:rFonts w:ascii="宋体" w:hAnsi="宋体" w:cs="宋体"/>
          <w:kern w:val="0"/>
          <w:szCs w:val="21"/>
        </w:rPr>
      </w:pPr>
    </w:p>
    <w:p>
      <w:pPr>
        <w:spacing w:line="360" w:lineRule="auto"/>
        <w:jc w:val="center"/>
        <w:rPr>
          <w:rFonts w:ascii="黑体" w:hAnsi="宋体" w:eastAsia="黑体"/>
          <w:color w:val="FF0000"/>
          <w:sz w:val="24"/>
        </w:rPr>
      </w:pPr>
      <w:bookmarkStart w:id="2" w:name="_Toc194467277"/>
      <w:r>
        <w:rPr>
          <w:rFonts w:hint="eastAsia" w:ascii="宋体" w:hAnsi="宋体"/>
          <w:b/>
          <w:bCs/>
          <w:color w:val="FF0000"/>
          <w:kern w:val="0"/>
          <w:sz w:val="24"/>
          <w:szCs w:val="20"/>
        </w:rPr>
        <w:t>第二章  代理机构服务费</w:t>
      </w:r>
    </w:p>
    <w:p>
      <w:pPr>
        <w:rPr>
          <w:rFonts w:ascii="宋体" w:hAnsi="宋体" w:cs="宋体"/>
          <w:color w:val="FF0000"/>
          <w:szCs w:val="21"/>
        </w:rPr>
      </w:pPr>
      <w:r>
        <w:rPr>
          <w:rFonts w:hint="eastAsia" w:ascii="宋体" w:hAnsi="宋体" w:cs="宋体"/>
          <w:color w:val="FF0000"/>
          <w:szCs w:val="21"/>
        </w:rPr>
        <w:t>1、具体标准参照国家计委关于印发《招标代理服务收费管理暂行办法》的通知（计价格[2002]1980号）和国家发展改革委办公厅颁布的《国家发展改革委办公厅关于招标代理服务收费有关问题》的通知（发改办价格[2003]857 号），具体收取方式如下表所示。</w:t>
      </w:r>
    </w:p>
    <w:tbl>
      <w:tblPr>
        <w:tblStyle w:val="41"/>
        <w:tblW w:w="8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2238"/>
        <w:gridCol w:w="2113"/>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2839" w:type="dxa"/>
            <w:tcBorders>
              <w:tl2br w:val="single" w:color="auto" w:sz="4" w:space="0"/>
            </w:tcBorders>
            <w:vAlign w:val="center"/>
          </w:tcPr>
          <w:p>
            <w:pPr>
              <w:snapToGrid w:val="0"/>
              <w:ind w:firstLine="420" w:firstLineChars="200"/>
              <w:rPr>
                <w:rFonts w:ascii="宋体" w:hAnsi="宋体" w:cs="宋体"/>
                <w:color w:val="FF0000"/>
                <w:szCs w:val="21"/>
              </w:rPr>
            </w:pPr>
            <w:r>
              <w:rPr>
                <w:rFonts w:hint="eastAsia" w:ascii="宋体" w:hAnsi="宋体" w:cs="宋体"/>
                <w:color w:val="FF0000"/>
                <w:szCs w:val="21"/>
              </w:rPr>
              <w:t xml:space="preserve">          类别</w:t>
            </w:r>
          </w:p>
          <w:p>
            <w:pPr>
              <w:pStyle w:val="2"/>
              <w:spacing w:after="0"/>
              <w:ind w:left="0" w:leftChars="0"/>
              <w:rPr>
                <w:rFonts w:ascii="宋体" w:hAnsi="宋体" w:cs="宋体"/>
                <w:color w:val="FF0000"/>
                <w:szCs w:val="21"/>
              </w:rPr>
            </w:pPr>
          </w:p>
          <w:p>
            <w:pPr>
              <w:pStyle w:val="2"/>
              <w:spacing w:after="0"/>
              <w:ind w:left="0" w:leftChars="0"/>
              <w:rPr>
                <w:rFonts w:ascii="宋体" w:hAnsi="宋体" w:cs="宋体"/>
                <w:color w:val="FF0000"/>
                <w:szCs w:val="21"/>
              </w:rPr>
            </w:pPr>
            <w:r>
              <w:rPr>
                <w:rFonts w:hint="eastAsia" w:ascii="宋体" w:hAnsi="宋体" w:cs="宋体"/>
                <w:color w:val="FF0000"/>
                <w:szCs w:val="21"/>
              </w:rPr>
              <w:t>金额（万元）</w:t>
            </w:r>
          </w:p>
        </w:tc>
        <w:tc>
          <w:tcPr>
            <w:tcW w:w="2238" w:type="dxa"/>
            <w:vAlign w:val="center"/>
          </w:tcPr>
          <w:p>
            <w:pPr>
              <w:snapToGrid w:val="0"/>
              <w:ind w:firstLine="420" w:firstLineChars="200"/>
              <w:jc w:val="center"/>
              <w:rPr>
                <w:rFonts w:ascii="宋体" w:hAnsi="宋体" w:cs="宋体"/>
                <w:color w:val="FF0000"/>
                <w:szCs w:val="21"/>
              </w:rPr>
            </w:pPr>
            <w:r>
              <w:rPr>
                <w:rFonts w:hint="eastAsia" w:ascii="宋体" w:hAnsi="宋体" w:cs="宋体"/>
                <w:color w:val="FF0000"/>
                <w:szCs w:val="21"/>
              </w:rPr>
              <w:t>货物招标</w:t>
            </w:r>
          </w:p>
        </w:tc>
        <w:tc>
          <w:tcPr>
            <w:tcW w:w="2113" w:type="dxa"/>
            <w:vAlign w:val="center"/>
          </w:tcPr>
          <w:p>
            <w:pPr>
              <w:snapToGrid w:val="0"/>
              <w:ind w:firstLine="420" w:firstLineChars="200"/>
              <w:jc w:val="center"/>
              <w:rPr>
                <w:rFonts w:ascii="宋体" w:hAnsi="宋体" w:cs="宋体"/>
                <w:color w:val="FF0000"/>
                <w:szCs w:val="21"/>
              </w:rPr>
            </w:pPr>
            <w:r>
              <w:rPr>
                <w:rFonts w:hint="eastAsia" w:ascii="宋体" w:hAnsi="宋体" w:cs="宋体"/>
                <w:color w:val="FF0000"/>
                <w:szCs w:val="21"/>
              </w:rPr>
              <w:t>服务招标</w:t>
            </w:r>
          </w:p>
        </w:tc>
        <w:tc>
          <w:tcPr>
            <w:tcW w:w="1506" w:type="dxa"/>
            <w:vAlign w:val="center"/>
          </w:tcPr>
          <w:p>
            <w:pPr>
              <w:snapToGrid w:val="0"/>
              <w:ind w:firstLine="420" w:firstLineChars="200"/>
              <w:jc w:val="center"/>
              <w:rPr>
                <w:rFonts w:ascii="宋体" w:hAnsi="宋体" w:cs="宋体"/>
                <w:color w:val="FF0000"/>
                <w:szCs w:val="21"/>
              </w:rPr>
            </w:pPr>
            <w:r>
              <w:rPr>
                <w:rFonts w:hint="eastAsia" w:ascii="宋体" w:hAnsi="宋体" w:cs="宋体"/>
                <w:color w:val="FF000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839" w:type="dxa"/>
            <w:vAlign w:val="center"/>
          </w:tcPr>
          <w:p>
            <w:pPr>
              <w:snapToGrid w:val="0"/>
              <w:ind w:firstLine="420" w:firstLineChars="200"/>
              <w:jc w:val="center"/>
              <w:rPr>
                <w:rFonts w:ascii="宋体" w:hAnsi="宋体" w:cs="宋体"/>
                <w:color w:val="FF0000"/>
                <w:szCs w:val="21"/>
              </w:rPr>
            </w:pPr>
            <w:r>
              <w:rPr>
                <w:rFonts w:hint="eastAsia" w:ascii="宋体" w:hAnsi="宋体" w:cs="宋体"/>
                <w:color w:val="FF0000"/>
                <w:szCs w:val="21"/>
              </w:rPr>
              <w:t>100以下</w:t>
            </w:r>
          </w:p>
        </w:tc>
        <w:tc>
          <w:tcPr>
            <w:tcW w:w="2238" w:type="dxa"/>
            <w:vAlign w:val="center"/>
          </w:tcPr>
          <w:p>
            <w:pPr>
              <w:snapToGrid w:val="0"/>
              <w:ind w:firstLine="420" w:firstLineChars="200"/>
              <w:jc w:val="center"/>
              <w:rPr>
                <w:rFonts w:ascii="宋体" w:hAnsi="宋体" w:cs="宋体"/>
                <w:color w:val="FF0000"/>
                <w:szCs w:val="21"/>
              </w:rPr>
            </w:pPr>
            <w:r>
              <w:rPr>
                <w:rFonts w:hint="eastAsia" w:ascii="宋体" w:hAnsi="宋体" w:cs="宋体"/>
                <w:color w:val="FF0000"/>
                <w:szCs w:val="21"/>
              </w:rPr>
              <w:t>1.5%</w:t>
            </w:r>
          </w:p>
        </w:tc>
        <w:tc>
          <w:tcPr>
            <w:tcW w:w="2113" w:type="dxa"/>
            <w:vAlign w:val="center"/>
          </w:tcPr>
          <w:p>
            <w:pPr>
              <w:snapToGrid w:val="0"/>
              <w:ind w:firstLine="420" w:firstLineChars="200"/>
              <w:jc w:val="center"/>
              <w:rPr>
                <w:rFonts w:ascii="宋体" w:hAnsi="宋体" w:cs="宋体"/>
                <w:color w:val="FF0000"/>
                <w:szCs w:val="21"/>
              </w:rPr>
            </w:pPr>
            <w:r>
              <w:rPr>
                <w:rFonts w:hint="eastAsia" w:ascii="宋体" w:hAnsi="宋体" w:cs="宋体"/>
                <w:color w:val="FF0000"/>
                <w:szCs w:val="21"/>
              </w:rPr>
              <w:t>1.5%</w:t>
            </w:r>
          </w:p>
        </w:tc>
        <w:tc>
          <w:tcPr>
            <w:tcW w:w="1506" w:type="dxa"/>
            <w:vAlign w:val="center"/>
          </w:tcPr>
          <w:p>
            <w:pPr>
              <w:snapToGrid w:val="0"/>
              <w:ind w:firstLine="420" w:firstLineChars="200"/>
              <w:jc w:val="center"/>
              <w:rPr>
                <w:rFonts w:ascii="宋体" w:hAnsi="宋体" w:cs="宋体"/>
                <w:color w:val="FF0000"/>
                <w:szCs w:val="21"/>
              </w:rPr>
            </w:pPr>
            <w:r>
              <w:rPr>
                <w:rFonts w:hint="eastAsia" w:ascii="宋体" w:hAnsi="宋体" w:cs="宋体"/>
                <w:color w:val="FF0000"/>
                <w:szCs w:val="21"/>
              </w:rPr>
              <w:t>1.0%</w:t>
            </w:r>
          </w:p>
        </w:tc>
      </w:tr>
    </w:tbl>
    <w:p>
      <w:pPr>
        <w:ind w:firstLine="420" w:firstLineChars="200"/>
        <w:rPr>
          <w:rFonts w:ascii="宋体" w:hAnsi="宋体" w:cs="宋体"/>
          <w:color w:val="FF0000"/>
          <w:szCs w:val="21"/>
        </w:rPr>
      </w:pPr>
      <w:r>
        <w:rPr>
          <w:rFonts w:hint="eastAsia" w:ascii="宋体" w:hAnsi="宋体" w:cs="宋体"/>
          <w:color w:val="FF0000"/>
          <w:szCs w:val="21"/>
        </w:rPr>
        <w:t>注：按本表费率计算的收费为招标代理服务的收费基准价格。</w:t>
      </w:r>
    </w:p>
    <w:p>
      <w:pPr>
        <w:ind w:firstLine="420" w:firstLineChars="200"/>
        <w:rPr>
          <w:rFonts w:ascii="宋体" w:hAnsi="宋体" w:cs="宋体"/>
          <w:color w:val="FF0000"/>
          <w:szCs w:val="21"/>
        </w:rPr>
      </w:pPr>
      <w:r>
        <w:rPr>
          <w:rFonts w:hint="eastAsia" w:ascii="宋体" w:hAnsi="宋体" w:cs="宋体"/>
          <w:color w:val="FF0000"/>
          <w:szCs w:val="21"/>
        </w:rPr>
        <w:t>2、 本项目招标代理服务费由中标人支付。中标人须在中标公告公示期结束后，向采购代理机构缴纳代理服务费，方可向罗湖区政府物料供应中心领取《中标通知书》。</w:t>
      </w:r>
    </w:p>
    <w:p>
      <w:pPr>
        <w:pStyle w:val="2"/>
        <w:ind w:left="0" w:leftChars="0"/>
        <w:rPr>
          <w:rFonts w:ascii="宋体" w:hAnsi="宋体" w:cs="宋体"/>
          <w:color w:val="FF0000"/>
          <w:szCs w:val="21"/>
        </w:rPr>
      </w:pPr>
      <w:r>
        <w:rPr>
          <w:rFonts w:hint="eastAsia" w:ascii="宋体" w:hAnsi="宋体" w:cs="宋体"/>
          <w:color w:val="FF0000"/>
          <w:szCs w:val="21"/>
        </w:rPr>
        <w:t>3、招标代理服务费以现金或银行汇票形式交付。</w:t>
      </w:r>
    </w:p>
    <w:p>
      <w:pPr>
        <w:pStyle w:val="2"/>
        <w:ind w:left="0" w:leftChars="0" w:firstLine="0" w:firstLineChars="0"/>
        <w:rPr>
          <w:rFonts w:ascii="宋体" w:hAnsi="宋体" w:cs="宋体"/>
          <w:color w:val="FF0000"/>
          <w:szCs w:val="21"/>
        </w:rPr>
      </w:pPr>
    </w:p>
    <w:p>
      <w:pPr>
        <w:pStyle w:val="2"/>
        <w:ind w:left="0" w:leftChars="0" w:firstLine="0" w:firstLineChars="0"/>
        <w:rPr>
          <w:rFonts w:ascii="宋体" w:hAnsi="宋体" w:cs="宋体"/>
          <w:color w:val="FF0000"/>
          <w:szCs w:val="21"/>
        </w:rPr>
      </w:pPr>
    </w:p>
    <w:p>
      <w:pPr>
        <w:pStyle w:val="2"/>
        <w:rPr>
          <w:rFonts w:ascii="宋体" w:hAnsi="宋体" w:cs="宋体"/>
          <w:szCs w:val="21"/>
        </w:rPr>
      </w:pPr>
    </w:p>
    <w:p>
      <w:pPr>
        <w:pStyle w:val="7"/>
      </w:pPr>
      <w:r>
        <w:rPr>
          <w:rFonts w:hint="eastAsia"/>
        </w:rPr>
        <w:t>第三章  项目需求书</w:t>
      </w:r>
      <w:bookmarkEnd w:id="2"/>
    </w:p>
    <w:p>
      <w:pPr>
        <w:pStyle w:val="5"/>
        <w:jc w:val="center"/>
        <w:rPr>
          <w:rFonts w:ascii="黑体" w:eastAsia="黑体"/>
          <w:b w:val="0"/>
          <w:kern w:val="0"/>
          <w:sz w:val="24"/>
        </w:rPr>
      </w:pPr>
      <w:bookmarkStart w:id="3" w:name="_Toc128884461"/>
      <w:bookmarkStart w:id="4" w:name="_Toc194467278"/>
      <w:r>
        <w:rPr>
          <w:rFonts w:hint="eastAsia" w:ascii="黑体" w:eastAsia="黑体"/>
          <w:b w:val="0"/>
          <w:kern w:val="0"/>
          <w:sz w:val="24"/>
        </w:rPr>
        <w:t>一、</w:t>
      </w:r>
      <w:bookmarkEnd w:id="3"/>
      <w:r>
        <w:rPr>
          <w:rFonts w:hint="eastAsia" w:ascii="黑体" w:eastAsia="黑体"/>
          <w:b w:val="0"/>
          <w:kern w:val="0"/>
          <w:sz w:val="24"/>
        </w:rPr>
        <w:t>货物技术要求</w:t>
      </w:r>
      <w:bookmarkEnd w:id="4"/>
    </w:p>
    <w:p>
      <w:pPr>
        <w:pStyle w:val="6"/>
        <w:jc w:val="center"/>
        <w:rPr>
          <w:b w:val="0"/>
          <w:color w:val="000000"/>
          <w:sz w:val="24"/>
        </w:rPr>
      </w:pPr>
      <w:bookmarkStart w:id="5" w:name="_Toc128884464"/>
      <w:r>
        <w:rPr>
          <w:rFonts w:hint="eastAsia"/>
          <w:b w:val="0"/>
          <w:color w:val="000000"/>
          <w:sz w:val="24"/>
        </w:rPr>
        <w:t>（一）货物清单需求</w:t>
      </w:r>
    </w:p>
    <w:tbl>
      <w:tblPr>
        <w:tblStyle w:val="41"/>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483"/>
        <w:gridCol w:w="1483"/>
        <w:gridCol w:w="1484"/>
        <w:gridCol w:w="620"/>
        <w:gridCol w:w="794"/>
        <w:gridCol w:w="112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 w:type="dxa"/>
            <w:vAlign w:val="center"/>
          </w:tcPr>
          <w:p>
            <w:pPr>
              <w:jc w:val="center"/>
              <w:rPr>
                <w:bCs/>
                <w:szCs w:val="21"/>
              </w:rPr>
            </w:pPr>
            <w:r>
              <w:rPr>
                <w:rFonts w:hint="eastAsia"/>
                <w:bCs/>
                <w:szCs w:val="21"/>
              </w:rPr>
              <w:t>序号</w:t>
            </w:r>
          </w:p>
        </w:tc>
        <w:tc>
          <w:tcPr>
            <w:tcW w:w="1483" w:type="dxa"/>
            <w:vAlign w:val="center"/>
          </w:tcPr>
          <w:p>
            <w:pPr>
              <w:jc w:val="center"/>
              <w:rPr>
                <w:bCs/>
                <w:szCs w:val="21"/>
              </w:rPr>
            </w:pPr>
            <w:r>
              <w:rPr>
                <w:rFonts w:hint="eastAsia"/>
                <w:szCs w:val="21"/>
              </w:rPr>
              <w:t>项目编号</w:t>
            </w:r>
          </w:p>
        </w:tc>
        <w:tc>
          <w:tcPr>
            <w:tcW w:w="1483" w:type="dxa"/>
            <w:vAlign w:val="center"/>
          </w:tcPr>
          <w:p>
            <w:pPr>
              <w:jc w:val="center"/>
              <w:rPr>
                <w:bCs/>
                <w:szCs w:val="21"/>
              </w:rPr>
            </w:pPr>
            <w:r>
              <w:rPr>
                <w:rFonts w:hint="eastAsia"/>
                <w:bCs/>
                <w:szCs w:val="21"/>
              </w:rPr>
              <w:t>项目名称</w:t>
            </w:r>
          </w:p>
        </w:tc>
        <w:tc>
          <w:tcPr>
            <w:tcW w:w="1484" w:type="dxa"/>
            <w:vAlign w:val="center"/>
          </w:tcPr>
          <w:p>
            <w:pPr>
              <w:jc w:val="center"/>
              <w:rPr>
                <w:bCs/>
                <w:szCs w:val="21"/>
              </w:rPr>
            </w:pPr>
            <w:r>
              <w:rPr>
                <w:rFonts w:hint="eastAsia"/>
                <w:bCs/>
                <w:szCs w:val="21"/>
              </w:rPr>
              <w:t>设备名称</w:t>
            </w:r>
          </w:p>
        </w:tc>
        <w:tc>
          <w:tcPr>
            <w:tcW w:w="620" w:type="dxa"/>
            <w:vAlign w:val="center"/>
          </w:tcPr>
          <w:p>
            <w:pPr>
              <w:jc w:val="center"/>
              <w:rPr>
                <w:bCs/>
                <w:szCs w:val="21"/>
              </w:rPr>
            </w:pPr>
            <w:r>
              <w:rPr>
                <w:rFonts w:hint="eastAsia"/>
                <w:bCs/>
                <w:szCs w:val="21"/>
              </w:rPr>
              <w:t>数量</w:t>
            </w:r>
          </w:p>
        </w:tc>
        <w:tc>
          <w:tcPr>
            <w:tcW w:w="794" w:type="dxa"/>
            <w:vAlign w:val="center"/>
          </w:tcPr>
          <w:p>
            <w:pPr>
              <w:jc w:val="center"/>
              <w:rPr>
                <w:bCs/>
                <w:szCs w:val="21"/>
              </w:rPr>
            </w:pPr>
            <w:r>
              <w:rPr>
                <w:rFonts w:hint="eastAsia"/>
                <w:bCs/>
                <w:szCs w:val="21"/>
              </w:rPr>
              <w:t>单位</w:t>
            </w:r>
          </w:p>
        </w:tc>
        <w:tc>
          <w:tcPr>
            <w:tcW w:w="1122" w:type="dxa"/>
            <w:vAlign w:val="center"/>
          </w:tcPr>
          <w:p>
            <w:pPr>
              <w:jc w:val="center"/>
              <w:rPr>
                <w:bCs/>
                <w:szCs w:val="21"/>
              </w:rPr>
            </w:pPr>
            <w:r>
              <w:rPr>
                <w:rFonts w:hint="eastAsia"/>
                <w:bCs/>
                <w:szCs w:val="21"/>
              </w:rPr>
              <w:t>备注</w:t>
            </w:r>
          </w:p>
        </w:tc>
        <w:tc>
          <w:tcPr>
            <w:tcW w:w="1035" w:type="dxa"/>
          </w:tcPr>
          <w:p>
            <w:pPr>
              <w:jc w:val="center"/>
              <w:rPr>
                <w:bCs/>
                <w:szCs w:val="21"/>
              </w:rPr>
            </w:pPr>
            <w:r>
              <w:rPr>
                <w:rFonts w:hint="eastAsia"/>
                <w:bCs/>
                <w:szCs w:val="21"/>
              </w:rPr>
              <w:t>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97" w:type="dxa"/>
            <w:vMerge w:val="restart"/>
            <w:vAlign w:val="center"/>
          </w:tcPr>
          <w:p>
            <w:pPr>
              <w:jc w:val="center"/>
              <w:rPr>
                <w:bCs/>
                <w:szCs w:val="21"/>
              </w:rPr>
            </w:pPr>
            <w:r>
              <w:rPr>
                <w:rFonts w:hint="eastAsia"/>
                <w:bCs/>
                <w:szCs w:val="21"/>
              </w:rPr>
              <w:t>1</w:t>
            </w:r>
          </w:p>
        </w:tc>
        <w:tc>
          <w:tcPr>
            <w:tcW w:w="1483" w:type="dxa"/>
            <w:vMerge w:val="restart"/>
            <w:shd w:val="clear" w:color="auto" w:fill="auto"/>
            <w:vAlign w:val="center"/>
          </w:tcPr>
          <w:p>
            <w:pPr>
              <w:jc w:val="center"/>
              <w:rPr>
                <w:szCs w:val="21"/>
              </w:rPr>
            </w:pPr>
            <w:r>
              <w:rPr>
                <w:rFonts w:hint="eastAsia"/>
                <w:szCs w:val="21"/>
              </w:rPr>
              <w:t>ZXCG2020206477</w:t>
            </w:r>
          </w:p>
        </w:tc>
        <w:tc>
          <w:tcPr>
            <w:tcW w:w="1483" w:type="dxa"/>
            <w:vMerge w:val="restart"/>
            <w:vAlign w:val="center"/>
          </w:tcPr>
          <w:p>
            <w:pPr>
              <w:jc w:val="center"/>
              <w:rPr>
                <w:szCs w:val="21"/>
              </w:rPr>
            </w:pPr>
            <w:r>
              <w:rPr>
                <w:rFonts w:hint="eastAsia"/>
                <w:szCs w:val="21"/>
              </w:rPr>
              <w:t>便携式冲击波治疗仪、脊柱减压治疗系统</w:t>
            </w:r>
          </w:p>
        </w:tc>
        <w:tc>
          <w:tcPr>
            <w:tcW w:w="1484" w:type="dxa"/>
            <w:vAlign w:val="center"/>
          </w:tcPr>
          <w:p>
            <w:pPr>
              <w:jc w:val="center"/>
              <w:rPr>
                <w:szCs w:val="21"/>
              </w:rPr>
            </w:pPr>
            <w:r>
              <w:rPr>
                <w:rFonts w:hint="eastAsia"/>
                <w:szCs w:val="21"/>
              </w:rPr>
              <w:t>便携式冲击波治疗仪</w:t>
            </w:r>
          </w:p>
        </w:tc>
        <w:tc>
          <w:tcPr>
            <w:tcW w:w="620" w:type="dxa"/>
            <w:vAlign w:val="center"/>
          </w:tcPr>
          <w:p>
            <w:pPr>
              <w:jc w:val="center"/>
              <w:rPr>
                <w:szCs w:val="21"/>
              </w:rPr>
            </w:pPr>
            <w:r>
              <w:rPr>
                <w:rFonts w:hint="eastAsia"/>
                <w:szCs w:val="21"/>
              </w:rPr>
              <w:t>1</w:t>
            </w:r>
          </w:p>
        </w:tc>
        <w:tc>
          <w:tcPr>
            <w:tcW w:w="794" w:type="dxa"/>
            <w:vAlign w:val="center"/>
          </w:tcPr>
          <w:p>
            <w:pPr>
              <w:jc w:val="center"/>
              <w:rPr>
                <w:szCs w:val="21"/>
              </w:rPr>
            </w:pPr>
            <w:r>
              <w:rPr>
                <w:rFonts w:hint="eastAsia"/>
                <w:szCs w:val="21"/>
              </w:rPr>
              <w:t>套</w:t>
            </w:r>
          </w:p>
        </w:tc>
        <w:tc>
          <w:tcPr>
            <w:tcW w:w="1122" w:type="dxa"/>
            <w:vAlign w:val="center"/>
          </w:tcPr>
          <w:p>
            <w:pPr>
              <w:jc w:val="center"/>
              <w:rPr>
                <w:bCs/>
                <w:szCs w:val="21"/>
              </w:rPr>
            </w:pPr>
            <w:r>
              <w:rPr>
                <w:rFonts w:hint="eastAsia"/>
                <w:bCs/>
                <w:szCs w:val="21"/>
              </w:rPr>
              <w:t>接受进口</w:t>
            </w:r>
          </w:p>
        </w:tc>
        <w:tc>
          <w:tcPr>
            <w:tcW w:w="1035" w:type="dxa"/>
            <w:vAlign w:val="center"/>
          </w:tcPr>
          <w:p>
            <w:pPr>
              <w:jc w:val="center"/>
              <w:rPr>
                <w:bCs/>
                <w:szCs w:val="21"/>
              </w:rPr>
            </w:pPr>
            <w:r>
              <w:rPr>
                <w:rFonts w:hint="eastAsia"/>
                <w:bCs/>
                <w:szCs w:val="21"/>
              </w:rPr>
              <w:t>4</w:t>
            </w:r>
            <w:r>
              <w:rPr>
                <w:rFonts w:hint="eastAsia"/>
                <w:bCs/>
                <w:szCs w:val="21"/>
                <w:lang w:val="en-US" w:eastAsia="zh-CN"/>
              </w:rPr>
              <w:t>3</w:t>
            </w:r>
            <w:r>
              <w:rPr>
                <w:rFonts w:hint="eastAsia"/>
                <w:bCs/>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97" w:type="dxa"/>
            <w:vMerge w:val="continue"/>
            <w:vAlign w:val="center"/>
          </w:tcPr>
          <w:p>
            <w:pPr>
              <w:jc w:val="center"/>
              <w:rPr>
                <w:bCs/>
                <w:szCs w:val="21"/>
              </w:rPr>
            </w:pPr>
          </w:p>
        </w:tc>
        <w:tc>
          <w:tcPr>
            <w:tcW w:w="1483" w:type="dxa"/>
            <w:vMerge w:val="continue"/>
            <w:shd w:val="clear" w:color="auto" w:fill="auto"/>
            <w:vAlign w:val="center"/>
          </w:tcPr>
          <w:p>
            <w:pPr>
              <w:jc w:val="center"/>
              <w:rPr>
                <w:szCs w:val="21"/>
              </w:rPr>
            </w:pPr>
          </w:p>
        </w:tc>
        <w:tc>
          <w:tcPr>
            <w:tcW w:w="1483" w:type="dxa"/>
            <w:vMerge w:val="continue"/>
            <w:vAlign w:val="center"/>
          </w:tcPr>
          <w:p>
            <w:pPr>
              <w:rPr>
                <w:szCs w:val="21"/>
              </w:rPr>
            </w:pPr>
          </w:p>
        </w:tc>
        <w:tc>
          <w:tcPr>
            <w:tcW w:w="1484" w:type="dxa"/>
            <w:vAlign w:val="center"/>
          </w:tcPr>
          <w:p>
            <w:pPr>
              <w:jc w:val="center"/>
              <w:rPr>
                <w:szCs w:val="21"/>
              </w:rPr>
            </w:pPr>
            <w:r>
              <w:rPr>
                <w:rFonts w:hint="eastAsia"/>
                <w:szCs w:val="21"/>
              </w:rPr>
              <w:t>脊柱减压治疗系统</w:t>
            </w:r>
          </w:p>
        </w:tc>
        <w:tc>
          <w:tcPr>
            <w:tcW w:w="620" w:type="dxa"/>
            <w:vAlign w:val="center"/>
          </w:tcPr>
          <w:p>
            <w:pPr>
              <w:jc w:val="center"/>
              <w:rPr>
                <w:szCs w:val="21"/>
              </w:rPr>
            </w:pPr>
            <w:r>
              <w:rPr>
                <w:rFonts w:hint="eastAsia"/>
                <w:szCs w:val="21"/>
              </w:rPr>
              <w:t>1</w:t>
            </w:r>
          </w:p>
        </w:tc>
        <w:tc>
          <w:tcPr>
            <w:tcW w:w="794" w:type="dxa"/>
            <w:vAlign w:val="center"/>
          </w:tcPr>
          <w:p>
            <w:pPr>
              <w:jc w:val="center"/>
              <w:rPr>
                <w:szCs w:val="21"/>
              </w:rPr>
            </w:pPr>
            <w:r>
              <w:rPr>
                <w:rFonts w:hint="eastAsia"/>
                <w:szCs w:val="21"/>
              </w:rPr>
              <w:t>套</w:t>
            </w:r>
          </w:p>
        </w:tc>
        <w:tc>
          <w:tcPr>
            <w:tcW w:w="1122" w:type="dxa"/>
            <w:vAlign w:val="center"/>
          </w:tcPr>
          <w:p>
            <w:pPr>
              <w:jc w:val="center"/>
              <w:rPr>
                <w:bCs/>
                <w:szCs w:val="21"/>
              </w:rPr>
            </w:pPr>
            <w:r>
              <w:rPr>
                <w:rFonts w:hint="eastAsia"/>
                <w:bCs/>
                <w:szCs w:val="21"/>
              </w:rPr>
              <w:t>接受进口</w:t>
            </w:r>
          </w:p>
        </w:tc>
        <w:tc>
          <w:tcPr>
            <w:tcW w:w="1035" w:type="dxa"/>
            <w:vAlign w:val="center"/>
          </w:tcPr>
          <w:p>
            <w:pPr>
              <w:jc w:val="center"/>
              <w:rPr>
                <w:bCs/>
                <w:szCs w:val="21"/>
              </w:rPr>
            </w:pPr>
            <w:r>
              <w:rPr>
                <w:rFonts w:hint="eastAsia"/>
                <w:bCs/>
                <w:szCs w:val="21"/>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83" w:type="dxa"/>
            <w:gridSpan w:val="7"/>
            <w:vAlign w:val="center"/>
          </w:tcPr>
          <w:p>
            <w:pPr>
              <w:jc w:val="center"/>
              <w:rPr>
                <w:bCs/>
                <w:szCs w:val="21"/>
              </w:rPr>
            </w:pPr>
            <w:r>
              <w:rPr>
                <w:rFonts w:hint="eastAsia"/>
                <w:bCs/>
                <w:szCs w:val="21"/>
              </w:rPr>
              <w:t>合计</w:t>
            </w:r>
          </w:p>
        </w:tc>
        <w:tc>
          <w:tcPr>
            <w:tcW w:w="1035" w:type="dxa"/>
            <w:vAlign w:val="center"/>
          </w:tcPr>
          <w:p>
            <w:pPr>
              <w:jc w:val="center"/>
              <w:rPr>
                <w:bCs/>
                <w:szCs w:val="21"/>
              </w:rPr>
            </w:pPr>
            <w:r>
              <w:rPr>
                <w:rFonts w:hint="eastAsia"/>
                <w:bCs/>
                <w:szCs w:val="21"/>
              </w:rPr>
              <w:t>8</w:t>
            </w:r>
            <w:r>
              <w:rPr>
                <w:rFonts w:hint="eastAsia"/>
                <w:bCs/>
                <w:szCs w:val="21"/>
                <w:lang w:val="en-US" w:eastAsia="zh-CN"/>
              </w:rPr>
              <w:t>3</w:t>
            </w:r>
            <w:r>
              <w:rPr>
                <w:rFonts w:hint="eastAsia"/>
                <w:bCs/>
                <w:szCs w:val="21"/>
              </w:rPr>
              <w:t>0000</w:t>
            </w:r>
          </w:p>
        </w:tc>
      </w:tr>
    </w:tbl>
    <w:p/>
    <w:p>
      <w:pPr>
        <w:rPr>
          <w:rFonts w:ascii="宋体" w:hAnsi="宋体"/>
          <w:b/>
          <w:color w:val="FF0000"/>
          <w:szCs w:val="21"/>
        </w:rPr>
      </w:pPr>
      <w:r>
        <w:rPr>
          <w:rFonts w:hint="eastAsia" w:ascii="宋体" w:hAnsi="宋体"/>
          <w:b/>
          <w:color w:val="FF0000"/>
          <w:szCs w:val="21"/>
        </w:rPr>
        <w:t>注：</w:t>
      </w:r>
    </w:p>
    <w:p>
      <w:pPr>
        <w:rPr>
          <w:rFonts w:ascii="宋体" w:hAnsi="宋体"/>
          <w:b/>
          <w:color w:val="FF0000"/>
          <w:szCs w:val="21"/>
        </w:rPr>
      </w:pPr>
      <w:r>
        <w:rPr>
          <w:rFonts w:hint="eastAsia" w:ascii="宋体" w:hAnsi="宋体"/>
          <w:b/>
          <w:color w:val="FF0000"/>
          <w:szCs w:val="21"/>
        </w:rPr>
        <w:t>1.备注栏注明“拒绝进口”的产品不接受供应商选用进口产品参与应答；注明“接受进口”的产品允许供应商选用进口产品参与应答，但不排斥国内产品。</w:t>
      </w:r>
    </w:p>
    <w:p>
      <w:pPr>
        <w:rPr>
          <w:rFonts w:ascii="宋体" w:hAnsi="宋体"/>
          <w:b/>
          <w:color w:val="FF0000"/>
          <w:szCs w:val="21"/>
        </w:rPr>
      </w:pPr>
      <w:r>
        <w:rPr>
          <w:rFonts w:hint="eastAsia" w:ascii="宋体" w:hAnsi="宋体"/>
          <w:b/>
          <w:color w:val="FF0000"/>
          <w:szCs w:val="21"/>
        </w:rPr>
        <w:t>2.招标项目名称仅供参考。如投标产品与招标项目名称不一致时，应填写：招标项目名称（投标产品名称）；</w:t>
      </w:r>
    </w:p>
    <w:p>
      <w:pPr>
        <w:rPr>
          <w:rFonts w:ascii="宋体" w:hAnsi="宋体"/>
          <w:b/>
          <w:color w:val="FF0000"/>
          <w:szCs w:val="21"/>
        </w:rPr>
      </w:pPr>
      <w:r>
        <w:rPr>
          <w:rFonts w:hint="eastAsia" w:ascii="宋体" w:hAnsi="宋体"/>
          <w:b/>
          <w:color w:val="FF0000"/>
          <w:szCs w:val="21"/>
        </w:rPr>
        <w:t>3.采购人有权对投标人所有提供的全部相关证明材料（原件）进行审查核实。如投标人提供虚假资料被查实的，则可能面临被取消本项目中标资格和列入本单位不诚信企业名单的风险；</w:t>
      </w:r>
    </w:p>
    <w:p>
      <w:pPr>
        <w:pStyle w:val="2"/>
      </w:pPr>
    </w:p>
    <w:p>
      <w:pPr>
        <w:jc w:val="center"/>
        <w:rPr>
          <w:rFonts w:ascii="Arial" w:hAnsi="Arial" w:eastAsia="黑体"/>
          <w:bCs/>
          <w:color w:val="000000"/>
          <w:sz w:val="24"/>
          <w:szCs w:val="28"/>
        </w:rPr>
      </w:pPr>
      <w:r>
        <w:rPr>
          <w:rFonts w:hint="eastAsia" w:ascii="Arial" w:hAnsi="Arial" w:eastAsia="黑体"/>
          <w:bCs/>
          <w:color w:val="000000"/>
          <w:sz w:val="24"/>
          <w:szCs w:val="28"/>
        </w:rPr>
        <w:t>货物清单明细表</w:t>
      </w:r>
    </w:p>
    <w:p>
      <w:pPr>
        <w:jc w:val="center"/>
        <w:rPr>
          <w:rFonts w:ascii="Arial" w:hAnsi="Arial" w:eastAsia="黑体"/>
          <w:bCs/>
          <w:color w:val="000000"/>
          <w:sz w:val="24"/>
          <w:szCs w:val="28"/>
        </w:rPr>
      </w:pPr>
    </w:p>
    <w:tbl>
      <w:tblPr>
        <w:tblStyle w:val="41"/>
        <w:tblW w:w="8331" w:type="dxa"/>
        <w:tblInd w:w="108" w:type="dxa"/>
        <w:tblLayout w:type="fixed"/>
        <w:tblCellMar>
          <w:top w:w="0" w:type="dxa"/>
          <w:left w:w="108" w:type="dxa"/>
          <w:bottom w:w="0" w:type="dxa"/>
          <w:right w:w="108" w:type="dxa"/>
        </w:tblCellMar>
      </w:tblPr>
      <w:tblGrid>
        <w:gridCol w:w="709"/>
        <w:gridCol w:w="4224"/>
        <w:gridCol w:w="1699"/>
        <w:gridCol w:w="1699"/>
      </w:tblGrid>
      <w:tr>
        <w:tblPrEx>
          <w:tblLayout w:type="fixed"/>
          <w:tblCellMar>
            <w:top w:w="0" w:type="dxa"/>
            <w:left w:w="108" w:type="dxa"/>
            <w:bottom w:w="0" w:type="dxa"/>
            <w:right w:w="108" w:type="dxa"/>
          </w:tblCellMar>
        </w:tblPrEx>
        <w:trPr>
          <w:trHeight w:val="75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序号</w:t>
            </w:r>
          </w:p>
        </w:tc>
        <w:tc>
          <w:tcPr>
            <w:tcW w:w="4224" w:type="dxa"/>
            <w:tcBorders>
              <w:top w:val="single" w:color="auto" w:sz="4" w:space="0"/>
              <w:left w:val="nil"/>
              <w:bottom w:val="single" w:color="auto" w:sz="4" w:space="0"/>
              <w:right w:val="single" w:color="auto" w:sz="4" w:space="0"/>
            </w:tcBorders>
            <w:vAlign w:val="center"/>
          </w:tcPr>
          <w:p>
            <w:pPr>
              <w:ind w:firstLine="210" w:firstLineChars="100"/>
              <w:jc w:val="center"/>
              <w:rPr>
                <w:rFonts w:ascii="宋体" w:hAnsi="宋体" w:cs="宋体"/>
                <w:kern w:val="0"/>
                <w:szCs w:val="21"/>
              </w:rPr>
            </w:pPr>
            <w:r>
              <w:rPr>
                <w:rFonts w:hint="eastAsia" w:ascii="宋体" w:hAnsi="宋体" w:cs="宋体"/>
                <w:kern w:val="0"/>
                <w:szCs w:val="21"/>
              </w:rPr>
              <w:t>货物名称</w:t>
            </w:r>
          </w:p>
        </w:tc>
        <w:tc>
          <w:tcPr>
            <w:tcW w:w="169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数量</w:t>
            </w:r>
          </w:p>
        </w:tc>
        <w:tc>
          <w:tcPr>
            <w:tcW w:w="169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单位</w:t>
            </w:r>
          </w:p>
        </w:tc>
      </w:tr>
      <w:tr>
        <w:tblPrEx>
          <w:tblLayout w:type="fixed"/>
          <w:tblCellMar>
            <w:top w:w="0" w:type="dxa"/>
            <w:left w:w="108" w:type="dxa"/>
            <w:bottom w:w="0" w:type="dxa"/>
            <w:right w:w="108" w:type="dxa"/>
          </w:tblCellMar>
        </w:tblPrEx>
        <w:trPr>
          <w:trHeight w:val="190" w:hRule="atLeast"/>
        </w:trPr>
        <w:tc>
          <w:tcPr>
            <w:tcW w:w="8331" w:type="dxa"/>
            <w:gridSpan w:val="4"/>
            <w:tcBorders>
              <w:top w:val="single" w:color="auto" w:sz="4" w:space="0"/>
              <w:left w:val="single" w:color="auto" w:sz="4" w:space="0"/>
              <w:bottom w:val="single" w:color="auto" w:sz="4" w:space="0"/>
              <w:right w:val="single" w:color="auto" w:sz="4" w:space="0"/>
            </w:tcBorders>
            <w:vAlign w:val="center"/>
          </w:tcPr>
          <w:p>
            <w:pPr>
              <w:ind w:firstLine="211" w:firstLineChars="100"/>
              <w:jc w:val="left"/>
              <w:rPr>
                <w:rFonts w:ascii="宋体" w:hAnsi="宋体" w:cs="宋体"/>
                <w:b/>
                <w:kern w:val="0"/>
                <w:szCs w:val="21"/>
              </w:rPr>
            </w:pPr>
            <w:r>
              <w:rPr>
                <w:rFonts w:hint="eastAsia" w:ascii="宋体" w:hAnsi="宋体" w:cs="宋体"/>
                <w:b/>
                <w:kern w:val="0"/>
                <w:szCs w:val="21"/>
                <w:lang w:val="en-US" w:eastAsia="zh-CN"/>
              </w:rPr>
              <w:t>一、</w:t>
            </w:r>
            <w:r>
              <w:rPr>
                <w:rFonts w:hint="eastAsia" w:ascii="宋体" w:hAnsi="宋体" w:cs="宋体"/>
                <w:b/>
                <w:kern w:val="0"/>
                <w:szCs w:val="21"/>
              </w:rPr>
              <w:t>便携式冲击波治疗仪</w:t>
            </w:r>
          </w:p>
        </w:tc>
      </w:tr>
      <w:tr>
        <w:tblPrEx>
          <w:tblLayout w:type="fixed"/>
          <w:tblCellMar>
            <w:top w:w="0" w:type="dxa"/>
            <w:left w:w="108" w:type="dxa"/>
            <w:bottom w:w="0" w:type="dxa"/>
            <w:right w:w="108" w:type="dxa"/>
          </w:tblCellMar>
        </w:tblPrEx>
        <w:trPr>
          <w:trHeight w:val="190" w:hRule="atLeast"/>
        </w:trPr>
        <w:tc>
          <w:tcPr>
            <w:tcW w:w="709"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cs="宋体"/>
                <w:kern w:val="0"/>
                <w:szCs w:val="21"/>
              </w:rPr>
            </w:pPr>
            <w:r>
              <w:rPr>
                <w:rFonts w:hint="eastAsia" w:ascii="宋体" w:hAnsi="宋体" w:cs="宋体"/>
                <w:kern w:val="0"/>
                <w:szCs w:val="21"/>
              </w:rPr>
              <w:t>1</w:t>
            </w:r>
          </w:p>
        </w:tc>
        <w:tc>
          <w:tcPr>
            <w:tcW w:w="4224" w:type="dxa"/>
            <w:tcBorders>
              <w:top w:val="single" w:color="auto" w:sz="4" w:space="0"/>
              <w:left w:val="single" w:color="auto" w:sz="4" w:space="0"/>
              <w:bottom w:val="single" w:color="auto" w:sz="4" w:space="0"/>
              <w:right w:val="single" w:color="auto" w:sz="4" w:space="0"/>
            </w:tcBorders>
          </w:tcPr>
          <w:p>
            <w:pPr>
              <w:jc w:val="left"/>
              <w:rPr>
                <w:rFonts w:ascii="宋体" w:hAnsi="宋体" w:cs="宋体"/>
                <w:kern w:val="0"/>
                <w:szCs w:val="21"/>
              </w:rPr>
            </w:pPr>
            <w:r>
              <w:rPr>
                <w:rFonts w:hint="eastAsia" w:ascii="宋体" w:hAnsi="宋体" w:cs="宋体"/>
                <w:kern w:val="0"/>
                <w:szCs w:val="21"/>
              </w:rPr>
              <w:t xml:space="preserve">便携式冲击波治疗仪           </w:t>
            </w:r>
          </w:p>
        </w:tc>
        <w:tc>
          <w:tcPr>
            <w:tcW w:w="1699"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cs="宋体"/>
                <w:kern w:val="0"/>
                <w:szCs w:val="21"/>
              </w:rPr>
            </w:pPr>
            <w:r>
              <w:rPr>
                <w:rFonts w:hint="eastAsia" w:ascii="宋体" w:hAnsi="宋体" w:cs="宋体"/>
                <w:kern w:val="0"/>
                <w:szCs w:val="21"/>
              </w:rPr>
              <w:t>1</w:t>
            </w:r>
          </w:p>
        </w:tc>
        <w:tc>
          <w:tcPr>
            <w:tcW w:w="1699"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cs="宋体"/>
                <w:kern w:val="0"/>
                <w:szCs w:val="21"/>
              </w:rPr>
            </w:pPr>
            <w:r>
              <w:rPr>
                <w:rFonts w:ascii="宋体" w:hAnsi="宋体" w:cs="宋体"/>
                <w:kern w:val="0"/>
                <w:szCs w:val="21"/>
              </w:rPr>
              <w:t>套</w:t>
            </w:r>
          </w:p>
        </w:tc>
      </w:tr>
      <w:tr>
        <w:tblPrEx>
          <w:tblLayout w:type="fixed"/>
          <w:tblCellMar>
            <w:top w:w="0" w:type="dxa"/>
            <w:left w:w="108" w:type="dxa"/>
            <w:bottom w:w="0" w:type="dxa"/>
            <w:right w:w="108" w:type="dxa"/>
          </w:tblCellMar>
        </w:tblPrEx>
        <w:trPr>
          <w:trHeight w:val="190" w:hRule="atLeast"/>
        </w:trPr>
        <w:tc>
          <w:tcPr>
            <w:tcW w:w="8331"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szCs w:val="21"/>
              </w:rPr>
            </w:pPr>
            <w:r>
              <w:rPr>
                <w:rFonts w:hint="eastAsia" w:ascii="宋体" w:hAnsi="宋体" w:cs="宋体"/>
                <w:b/>
                <w:kern w:val="0"/>
                <w:szCs w:val="21"/>
                <w:lang w:val="en-US" w:eastAsia="zh-CN"/>
              </w:rPr>
              <w:t>二、脊柱减压治疗系统</w:t>
            </w:r>
          </w:p>
        </w:tc>
      </w:tr>
      <w:tr>
        <w:tblPrEx>
          <w:tblLayout w:type="fixed"/>
          <w:tblCellMar>
            <w:top w:w="0" w:type="dxa"/>
            <w:left w:w="108" w:type="dxa"/>
            <w:bottom w:w="0" w:type="dxa"/>
            <w:right w:w="108" w:type="dxa"/>
          </w:tblCellMar>
        </w:tblPrEx>
        <w:trPr>
          <w:trHeight w:val="190" w:hRule="atLeast"/>
        </w:trPr>
        <w:tc>
          <w:tcPr>
            <w:tcW w:w="709"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cs="宋体"/>
                <w:kern w:val="0"/>
                <w:szCs w:val="21"/>
              </w:rPr>
            </w:pPr>
            <w:r>
              <w:rPr>
                <w:rFonts w:hint="eastAsia" w:ascii="宋体" w:hAnsi="宋体" w:cs="宋体"/>
                <w:kern w:val="0"/>
                <w:szCs w:val="21"/>
              </w:rPr>
              <w:t>1</w:t>
            </w:r>
          </w:p>
        </w:tc>
        <w:tc>
          <w:tcPr>
            <w:tcW w:w="4224" w:type="dxa"/>
            <w:tcBorders>
              <w:top w:val="single" w:color="auto" w:sz="4" w:space="0"/>
              <w:left w:val="single" w:color="auto" w:sz="4" w:space="0"/>
              <w:bottom w:val="single" w:color="auto" w:sz="4" w:space="0"/>
              <w:right w:val="single" w:color="auto" w:sz="4" w:space="0"/>
            </w:tcBorders>
          </w:tcPr>
          <w:p>
            <w:pPr>
              <w:pStyle w:val="32"/>
              <w:rPr>
                <w:rFonts w:asciiTheme="minorEastAsia" w:hAnsiTheme="minorEastAsia" w:eastAsiaTheme="minorEastAsia"/>
                <w:sz w:val="21"/>
                <w:szCs w:val="21"/>
              </w:rPr>
            </w:pPr>
            <w:r>
              <w:rPr>
                <w:rFonts w:hint="eastAsia" w:asciiTheme="minorEastAsia" w:hAnsiTheme="minorEastAsia" w:eastAsiaTheme="minorEastAsia"/>
                <w:sz w:val="21"/>
                <w:szCs w:val="21"/>
              </w:rPr>
              <w:t>脊柱减压治疗系统</w:t>
            </w:r>
          </w:p>
        </w:tc>
        <w:tc>
          <w:tcPr>
            <w:tcW w:w="169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69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套</w:t>
            </w:r>
          </w:p>
        </w:tc>
      </w:tr>
    </w:tbl>
    <w:p>
      <w:pPr>
        <w:rPr>
          <w:rFonts w:ascii="宋体" w:hAnsi="宋体"/>
          <w:b/>
          <w:color w:val="FF0000"/>
          <w:szCs w:val="21"/>
        </w:rPr>
      </w:pPr>
      <w:r>
        <w:rPr>
          <w:rFonts w:hint="eastAsia" w:ascii="宋体" w:hAnsi="宋体"/>
          <w:b/>
          <w:color w:val="FF0000"/>
          <w:szCs w:val="21"/>
        </w:rPr>
        <w:t>注：本表填写主要配置，需体现在“货物说明一览表”；2.需提供符合要求或高于此档次的配置。</w:t>
      </w:r>
    </w:p>
    <w:p>
      <w:pPr>
        <w:rPr>
          <w:b/>
          <w:bCs/>
          <w:sz w:val="24"/>
        </w:rPr>
      </w:pPr>
    </w:p>
    <w:p>
      <w:pPr>
        <w:pStyle w:val="6"/>
        <w:jc w:val="center"/>
        <w:rPr>
          <w:b w:val="0"/>
          <w:color w:val="000000"/>
          <w:sz w:val="24"/>
        </w:rPr>
      </w:pPr>
      <w:r>
        <w:rPr>
          <w:rFonts w:hint="eastAsia"/>
          <w:b w:val="0"/>
          <w:color w:val="000000"/>
          <w:sz w:val="24"/>
        </w:rPr>
        <w:t>（二）技术要求</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73" w:type="dxa"/>
          </w:tcPr>
          <w:p>
            <w:pPr>
              <w:jc w:val="center"/>
              <w:rPr>
                <w:b/>
                <w:sz w:val="24"/>
              </w:rPr>
            </w:pPr>
            <w:r>
              <w:rPr>
                <w:rFonts w:hint="eastAsia" w:ascii="宋体" w:hAnsi="宋体" w:cs="宋体"/>
                <w:kern w:val="0"/>
                <w:sz w:val="22"/>
              </w:rPr>
              <w:t>序号</w:t>
            </w:r>
          </w:p>
        </w:tc>
        <w:tc>
          <w:tcPr>
            <w:tcW w:w="7749" w:type="dxa"/>
          </w:tcPr>
          <w:p>
            <w:pPr>
              <w:ind w:firstLine="241" w:firstLineChars="100"/>
              <w:jc w:val="center"/>
              <w:rPr>
                <w:b/>
                <w:sz w:val="24"/>
              </w:rPr>
            </w:pPr>
            <w:r>
              <w:rPr>
                <w:rFonts w:hint="eastAsia"/>
                <w:b/>
                <w:sz w:val="24"/>
              </w:rPr>
              <w:t>采购规格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left"/>
              <w:rPr>
                <w:rFonts w:asciiTheme="minorEastAsia" w:hAnsiTheme="minorEastAsia" w:eastAsiaTheme="minorEastAsia"/>
                <w:b/>
                <w:sz w:val="21"/>
                <w:szCs w:val="21"/>
              </w:rPr>
            </w:pPr>
            <w:r>
              <w:rPr>
                <w:rFonts w:hint="eastAsia" w:ascii="宋体" w:hAnsi="宋体" w:cs="宋体"/>
                <w:b/>
                <w:kern w:val="0"/>
                <w:sz w:val="24"/>
                <w:szCs w:val="21"/>
              </w:rPr>
              <w:t>一</w:t>
            </w:r>
            <w:r>
              <w:rPr>
                <w:rFonts w:hint="eastAsia" w:ascii="宋体" w:hAnsi="宋体" w:cs="宋体"/>
                <w:b/>
                <w:kern w:val="0"/>
                <w:sz w:val="24"/>
                <w:szCs w:val="21"/>
                <w:lang w:eastAsia="zh-CN"/>
              </w:rPr>
              <w:t>、</w:t>
            </w:r>
            <w:r>
              <w:rPr>
                <w:rFonts w:hint="eastAsia" w:ascii="宋体" w:hAnsi="宋体" w:cs="宋体"/>
                <w:b/>
                <w:kern w:val="0"/>
                <w:szCs w:val="21"/>
              </w:rPr>
              <w:t>便携式冲击波治疗仪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top"/>
          </w:tcPr>
          <w:p>
            <w:pPr>
              <w:rPr>
                <w:rFonts w:asciiTheme="minorEastAsia" w:hAnsiTheme="minorEastAsia" w:eastAsiaTheme="minorEastAsia"/>
                <w:szCs w:val="21"/>
              </w:rPr>
            </w:pPr>
            <w:r>
              <w:rPr>
                <w:rFonts w:hint="eastAsia" w:ascii="仿宋" w:hAnsi="仿宋" w:eastAsia="仿宋" w:cs="仿宋"/>
                <w:sz w:val="24"/>
                <w:szCs w:val="24"/>
                <w:lang w:val="en-US" w:eastAsia="zh-CN"/>
              </w:rPr>
              <w:t>1</w:t>
            </w:r>
          </w:p>
        </w:tc>
        <w:tc>
          <w:tcPr>
            <w:tcW w:w="7749" w:type="dxa"/>
            <w:vAlign w:val="top"/>
          </w:tcPr>
          <w:p>
            <w:pPr>
              <w:rPr>
                <w:rFonts w:asciiTheme="minorEastAsia" w:hAnsiTheme="minorEastAsia" w:eastAsiaTheme="minorEastAsia"/>
                <w:szCs w:val="21"/>
              </w:rPr>
            </w:pPr>
            <w:r>
              <w:rPr>
                <w:rFonts w:hint="eastAsia" w:ascii="仿宋" w:hAnsi="仿宋" w:eastAsia="仿宋" w:cs="仿宋"/>
                <w:sz w:val="24"/>
                <w:szCs w:val="24"/>
                <w:lang w:val="en-US" w:eastAsia="zh-CN"/>
              </w:rPr>
              <w:t>具有压缩空气输出、单输出、连续输出，震动按摩，压力脉冲，痛点定位功能；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top"/>
          </w:tcPr>
          <w:p>
            <w:pPr>
              <w:rPr>
                <w:rFonts w:asciiTheme="minorEastAsia" w:hAnsiTheme="minorEastAsia" w:eastAsiaTheme="minorEastAsia"/>
                <w:szCs w:val="21"/>
              </w:rPr>
            </w:pPr>
            <w:r>
              <w:rPr>
                <w:rFonts w:hint="eastAsia" w:ascii="仿宋" w:hAnsi="仿宋" w:eastAsia="仿宋" w:cs="仿宋"/>
                <w:sz w:val="24"/>
                <w:szCs w:val="24"/>
                <w:lang w:val="en-US" w:eastAsia="zh-CN"/>
              </w:rPr>
              <w:t>2</w:t>
            </w:r>
          </w:p>
        </w:tc>
        <w:tc>
          <w:tcPr>
            <w:tcW w:w="7749" w:type="dxa"/>
            <w:vAlign w:val="top"/>
          </w:tcPr>
          <w:p>
            <w:pPr>
              <w:rPr>
                <w:rFonts w:asciiTheme="minorEastAsia" w:hAnsiTheme="minorEastAsia" w:eastAsiaTheme="minorEastAsia"/>
                <w:szCs w:val="21"/>
              </w:rPr>
            </w:pPr>
            <w:r>
              <w:rPr>
                <w:rFonts w:hint="eastAsia" w:ascii="仿宋" w:hAnsi="仿宋" w:eastAsia="仿宋" w:cs="仿宋"/>
                <w:sz w:val="24"/>
                <w:szCs w:val="24"/>
              </w:rPr>
              <w:t>冲击频率：1~15Hz，治疗时连续可调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top"/>
          </w:tcPr>
          <w:p>
            <w:pPr>
              <w:rPr>
                <w:rFonts w:asciiTheme="minorEastAsia" w:hAnsiTheme="minorEastAsia" w:eastAsiaTheme="minorEastAsia"/>
                <w:szCs w:val="21"/>
              </w:rPr>
            </w:pPr>
            <w:r>
              <w:rPr>
                <w:rFonts w:hint="eastAsia" w:ascii="仿宋" w:hAnsi="仿宋" w:eastAsia="仿宋" w:cs="仿宋"/>
                <w:sz w:val="24"/>
                <w:szCs w:val="24"/>
                <w:lang w:val="en-US" w:eastAsia="zh-CN"/>
              </w:rPr>
              <w:t>3</w:t>
            </w:r>
          </w:p>
        </w:tc>
        <w:tc>
          <w:tcPr>
            <w:tcW w:w="7749" w:type="dxa"/>
            <w:vAlign w:val="top"/>
          </w:tcPr>
          <w:p>
            <w:pPr>
              <w:rPr>
                <w:rFonts w:asciiTheme="minorEastAsia" w:hAnsiTheme="minorEastAsia" w:eastAsiaTheme="minorEastAsia"/>
                <w:szCs w:val="21"/>
              </w:rPr>
            </w:pPr>
            <w:r>
              <w:rPr>
                <w:rFonts w:hint="eastAsia" w:ascii="仿宋" w:hAnsi="仿宋" w:eastAsia="仿宋" w:cs="仿宋"/>
                <w:sz w:val="24"/>
                <w:szCs w:val="24"/>
              </w:rPr>
              <w:t>治疗压力：1~4bar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top"/>
          </w:tcPr>
          <w:p>
            <w:pPr>
              <w:rPr>
                <w:rFonts w:asciiTheme="minorEastAsia" w:hAnsiTheme="minorEastAsia" w:eastAsiaTheme="minorEastAsia"/>
                <w:szCs w:val="21"/>
              </w:rPr>
            </w:pPr>
            <w:r>
              <w:rPr>
                <w:rFonts w:hint="eastAsia" w:ascii="仿宋" w:hAnsi="仿宋" w:eastAsia="仿宋" w:cs="仿宋"/>
                <w:sz w:val="24"/>
                <w:szCs w:val="24"/>
                <w:lang w:val="en-US" w:eastAsia="zh-CN"/>
              </w:rPr>
              <w:t>4</w:t>
            </w:r>
          </w:p>
        </w:tc>
        <w:tc>
          <w:tcPr>
            <w:tcW w:w="7749" w:type="dxa"/>
            <w:vAlign w:val="top"/>
          </w:tcPr>
          <w:p>
            <w:pPr>
              <w:rPr>
                <w:rFonts w:asciiTheme="minorEastAsia" w:hAnsiTheme="minorEastAsia" w:eastAsiaTheme="minorEastAsia"/>
                <w:szCs w:val="21"/>
              </w:rPr>
            </w:pPr>
            <w:r>
              <w:rPr>
                <w:rFonts w:hint="eastAsia" w:ascii="仿宋" w:hAnsi="仿宋" w:eastAsia="仿宋" w:cs="仿宋"/>
                <w:sz w:val="24"/>
                <w:szCs w:val="24"/>
              </w:rPr>
              <w:t>治疗手柄为非伸缩式设计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▲5</w:t>
            </w:r>
          </w:p>
        </w:tc>
        <w:tc>
          <w:tcPr>
            <w:tcW w:w="7749" w:type="dxa"/>
            <w:vAlign w:val="center"/>
          </w:tcPr>
          <w:p>
            <w:pPr>
              <w:rPr>
                <w:rFonts w:asciiTheme="minorEastAsia" w:hAnsiTheme="minorEastAsia" w:eastAsiaTheme="minorEastAsia"/>
                <w:b w:val="0"/>
                <w:bCs w:val="0"/>
                <w:sz w:val="21"/>
                <w:szCs w:val="21"/>
              </w:rPr>
            </w:pPr>
            <w:r>
              <w:rPr>
                <w:rFonts w:hint="eastAsia" w:ascii="仿宋" w:hAnsi="仿宋" w:eastAsia="仿宋"/>
                <w:sz w:val="24"/>
                <w:szCs w:val="24"/>
              </w:rPr>
              <w:t>主机、手柄、探头等主要部件为同一品牌;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6</w:t>
            </w:r>
          </w:p>
        </w:tc>
        <w:tc>
          <w:tcPr>
            <w:tcW w:w="7749" w:type="dxa"/>
            <w:vAlign w:val="center"/>
          </w:tcPr>
          <w:p>
            <w:pPr>
              <w:rPr>
                <w:rFonts w:asciiTheme="minorEastAsia" w:hAnsiTheme="minorEastAsia" w:eastAsiaTheme="minorEastAsia"/>
                <w:szCs w:val="21"/>
              </w:rPr>
            </w:pPr>
            <w:r>
              <w:rPr>
                <w:rFonts w:hint="eastAsia" w:ascii="仿宋" w:hAnsi="仿宋" w:eastAsia="仿宋"/>
                <w:sz w:val="24"/>
                <w:szCs w:val="24"/>
              </w:rPr>
              <w:t>包含但不限于陶瓷治疗探头、针灸治疗探头两个探头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highlight w:val="none"/>
                <w:lang w:val="en-US" w:eastAsia="zh-CN"/>
              </w:rPr>
              <w:t>7</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highlight w:val="none"/>
              </w:rPr>
              <w:t>陶瓷治疗探头在4bar压力下，能流密度≥</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mJ/mm2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numPr>
                <w:ilvl w:val="0"/>
                <w:numId w:val="0"/>
              </w:numPr>
              <w:ind w:left="0" w:leftChars="0" w:firstLine="0" w:firstLineChars="0"/>
              <w:rPr>
                <w:rFonts w:asciiTheme="minorEastAsia" w:hAnsiTheme="minorEastAsia" w:eastAsiaTheme="minorEastAsia"/>
                <w:szCs w:val="21"/>
              </w:rPr>
            </w:pPr>
            <w:r>
              <w:rPr>
                <w:rFonts w:hint="eastAsia" w:ascii="仿宋" w:hAnsi="仿宋" w:eastAsia="仿宋"/>
                <w:sz w:val="24"/>
                <w:szCs w:val="24"/>
                <w:lang w:val="en-US" w:eastAsia="zh-CN"/>
              </w:rPr>
              <w:t>▲8</w:t>
            </w:r>
          </w:p>
        </w:tc>
        <w:tc>
          <w:tcPr>
            <w:tcW w:w="7749" w:type="dxa"/>
            <w:vAlign w:val="center"/>
          </w:tcPr>
          <w:p>
            <w:pPr>
              <w:numPr>
                <w:ilvl w:val="0"/>
                <w:numId w:val="0"/>
              </w:numPr>
              <w:ind w:left="0" w:leftChars="0" w:firstLine="0" w:firstLineChars="0"/>
              <w:rPr>
                <w:rFonts w:asciiTheme="minorEastAsia" w:hAnsiTheme="minorEastAsia" w:eastAsiaTheme="minorEastAsia"/>
                <w:szCs w:val="21"/>
              </w:rPr>
            </w:pPr>
            <w:r>
              <w:rPr>
                <w:rFonts w:hint="eastAsia" w:ascii="仿宋" w:hAnsi="仿宋" w:eastAsia="仿宋" w:cs="仿宋"/>
                <w:sz w:val="24"/>
                <w:szCs w:val="24"/>
                <w:highlight w:val="none"/>
              </w:rPr>
              <w:t>针灸治疗探头在4bar压力下，能流密度≥</w:t>
            </w:r>
            <w:r>
              <w:rPr>
                <w:rFonts w:hint="eastAsia" w:ascii="仿宋" w:hAnsi="仿宋" w:eastAsia="仿宋" w:cs="仿宋"/>
                <w:sz w:val="24"/>
                <w:szCs w:val="24"/>
                <w:highlight w:val="none"/>
                <w:lang w:val="en-US" w:eastAsia="zh-CN"/>
              </w:rPr>
              <w:t>4.5</w:t>
            </w:r>
            <w:r>
              <w:rPr>
                <w:rFonts w:hint="eastAsia" w:ascii="仿宋" w:hAnsi="仿宋" w:eastAsia="仿宋" w:cs="仿宋"/>
                <w:sz w:val="24"/>
                <w:szCs w:val="24"/>
                <w:highlight w:val="none"/>
              </w:rPr>
              <w:t>mJ/mm2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9</w:t>
            </w:r>
          </w:p>
        </w:tc>
        <w:tc>
          <w:tcPr>
            <w:tcW w:w="7749" w:type="dxa"/>
            <w:vAlign w:val="center"/>
          </w:tcPr>
          <w:p>
            <w:pPr>
              <w:rPr>
                <w:rFonts w:asciiTheme="minorEastAsia" w:hAnsiTheme="minorEastAsia" w:eastAsiaTheme="minorEastAsia"/>
                <w:b w:val="0"/>
                <w:bCs w:val="0"/>
                <w:sz w:val="21"/>
                <w:szCs w:val="21"/>
              </w:rPr>
            </w:pPr>
            <w:r>
              <w:rPr>
                <w:rFonts w:hint="eastAsia" w:ascii="仿宋" w:hAnsi="仿宋" w:eastAsia="仿宋" w:cs="仿宋"/>
                <w:sz w:val="24"/>
                <w:szCs w:val="24"/>
              </w:rPr>
              <w:t>内置非油压式免维护空气压缩机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10</w:t>
            </w:r>
          </w:p>
        </w:tc>
        <w:tc>
          <w:tcPr>
            <w:tcW w:w="7749" w:type="dxa"/>
            <w:vAlign w:val="center"/>
          </w:tcPr>
          <w:p>
            <w:pPr>
              <w:rPr>
                <w:rFonts w:asciiTheme="minorEastAsia" w:hAnsiTheme="minorEastAsia" w:eastAsiaTheme="minorEastAsia"/>
                <w:b w:val="0"/>
                <w:bCs w:val="0"/>
                <w:sz w:val="21"/>
                <w:szCs w:val="21"/>
              </w:rPr>
            </w:pPr>
            <w:r>
              <w:rPr>
                <w:rFonts w:hint="eastAsia" w:ascii="仿宋" w:hAnsi="仿宋" w:eastAsia="仿宋" w:cs="仿宋"/>
                <w:sz w:val="24"/>
                <w:szCs w:val="24"/>
              </w:rPr>
              <w:t>整机重量≤10kg，治疗手柄重量≤500g</w:t>
            </w:r>
            <w:r>
              <w:rPr>
                <w:rFonts w:hint="eastAsia" w:ascii="仿宋" w:hAnsi="仿宋" w:eastAsia="仿宋" w:cs="仿宋"/>
                <w:sz w:val="24"/>
                <w:szCs w:val="24"/>
                <w:lang w:eastAsia="zh-CN"/>
              </w:rPr>
              <w:t>，</w:t>
            </w:r>
            <w:r>
              <w:rPr>
                <w:rFonts w:hint="eastAsia" w:ascii="仿宋" w:hAnsi="仿宋" w:eastAsia="仿宋" w:cs="仿宋"/>
                <w:sz w:val="24"/>
                <w:szCs w:val="24"/>
              </w:rPr>
              <w:t>便于携带移动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w:t>
            </w:r>
            <w:r>
              <w:rPr>
                <w:rFonts w:hint="eastAsia" w:ascii="仿宋" w:hAnsi="仿宋" w:eastAsia="仿宋" w:cs="仿宋"/>
                <w:sz w:val="24"/>
                <w:szCs w:val="24"/>
                <w:lang w:val="en-US" w:eastAsia="zh-CN"/>
              </w:rPr>
              <w:t>11</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rPr>
              <w:t>采用气压弹道冲击式产生冲击波，可自行更换弹道子弹，无需返厂维护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12</w:t>
            </w:r>
          </w:p>
        </w:tc>
        <w:tc>
          <w:tcPr>
            <w:tcW w:w="7749" w:type="dxa"/>
            <w:vAlign w:val="center"/>
          </w:tcPr>
          <w:p>
            <w:pPr>
              <w:rPr>
                <w:rFonts w:asciiTheme="minorEastAsia" w:hAnsiTheme="minorEastAsia" w:eastAsiaTheme="minorEastAsia"/>
                <w:szCs w:val="21"/>
              </w:rPr>
            </w:pPr>
            <w:r>
              <w:rPr>
                <w:rFonts w:hint="eastAsia" w:ascii="仿宋" w:hAnsi="仿宋" w:eastAsia="仿宋"/>
                <w:sz w:val="24"/>
                <w:szCs w:val="24"/>
              </w:rPr>
              <w:t>治疗探头需通过生物相容性检测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13</w:t>
            </w:r>
          </w:p>
        </w:tc>
        <w:tc>
          <w:tcPr>
            <w:tcW w:w="7749"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具有</w:t>
            </w:r>
            <w:r>
              <w:rPr>
                <w:rFonts w:hint="eastAsia" w:ascii="仿宋" w:hAnsi="仿宋" w:eastAsia="仿宋" w:cs="仿宋"/>
                <w:sz w:val="24"/>
                <w:szCs w:val="24"/>
              </w:rPr>
              <w:t>≥4种治疗手法，包含但不限于肌筋膜激痛点疗法、肌腱止点功能障碍疗法、活化肌肉和结缔组织疗法、针灸冲击波疗法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14</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rPr>
              <w:t>适配的不同类型探头≥9个，保证机器未来的可升级性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left"/>
              <w:rPr>
                <w:rFonts w:asciiTheme="minorEastAsia" w:hAnsiTheme="minorEastAsia" w:eastAsiaTheme="minorEastAsia"/>
                <w:sz w:val="21"/>
                <w:szCs w:val="21"/>
              </w:rPr>
            </w:pPr>
            <w:r>
              <w:rPr>
                <w:rFonts w:hint="eastAsia" w:ascii="宋体" w:hAnsi="宋体" w:cs="宋体"/>
                <w:b/>
                <w:kern w:val="0"/>
                <w:sz w:val="24"/>
                <w:szCs w:val="21"/>
              </w:rPr>
              <w:t>二</w:t>
            </w:r>
            <w:r>
              <w:rPr>
                <w:rFonts w:hint="eastAsia" w:ascii="宋体" w:hAnsi="宋体" w:cs="宋体"/>
                <w:b/>
                <w:kern w:val="0"/>
                <w:sz w:val="24"/>
                <w:szCs w:val="21"/>
                <w:lang w:eastAsia="zh-CN"/>
              </w:rPr>
              <w:t>、</w:t>
            </w:r>
            <w:r>
              <w:rPr>
                <w:rFonts w:hint="eastAsia" w:asciiTheme="minorEastAsia" w:hAnsiTheme="minorEastAsia" w:eastAsiaTheme="minorEastAsia"/>
                <w:b/>
                <w:bCs/>
                <w:sz w:val="21"/>
                <w:szCs w:val="21"/>
              </w:rPr>
              <w:t xml:space="preserve">脊柱减压治疗系统 </w:t>
            </w:r>
            <w:r>
              <w:rPr>
                <w:rFonts w:hint="eastAsia" w:asciiTheme="minorEastAsia" w:hAnsiTheme="minorEastAsia" w:eastAsia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1</w:t>
            </w:r>
          </w:p>
        </w:tc>
        <w:tc>
          <w:tcPr>
            <w:tcW w:w="7749"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含多种治疗师手法，实现仰卧颈椎减压治疗、训练，速度可调、选项可选；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2</w:t>
            </w:r>
          </w:p>
        </w:tc>
        <w:tc>
          <w:tcPr>
            <w:tcW w:w="7749"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牵引力的启动和停止均使用柔和缓慢的方式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3</w:t>
            </w:r>
          </w:p>
        </w:tc>
        <w:tc>
          <w:tcPr>
            <w:tcW w:w="7749"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颈牵具有半卧式牵引功能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4</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腰牵和颈牵采用不同的系统，通过各自独立的重量传感器，获得精准的腰椎和颈椎的牵引水平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5</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颈垫和腰垫均内置有加热器，加热温度≥3档可调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6</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有节奏的牵引方式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7</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髋部采用将盆骨包裹起来的深度形状设计，固定带设有自动滚动系统，可自动调节松紧度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8</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腋下摆臂装置具有自动感应患者的腋下宽度及上下距离自动固定、牵引的功能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numPr>
                <w:ilvl w:val="0"/>
                <w:numId w:val="0"/>
              </w:numPr>
              <w:spacing w:line="300" w:lineRule="exact"/>
              <w:ind w:left="0" w:leftChars="0" w:firstLine="0" w:firstLineChars="0"/>
              <w:rPr>
                <w:rFonts w:asciiTheme="minorEastAsia" w:hAnsiTheme="minorEastAsia" w:eastAsiaTheme="minorEastAsia"/>
                <w:szCs w:val="21"/>
              </w:rPr>
            </w:pPr>
            <w:r>
              <w:rPr>
                <w:rFonts w:hint="eastAsia" w:ascii="仿宋" w:hAnsi="仿宋" w:eastAsia="仿宋" w:cs="仿宋"/>
                <w:sz w:val="24"/>
                <w:szCs w:val="24"/>
                <w:lang w:val="en-US" w:eastAsia="zh-CN"/>
              </w:rPr>
              <w:t>9</w:t>
            </w:r>
          </w:p>
        </w:tc>
        <w:tc>
          <w:tcPr>
            <w:tcW w:w="7749" w:type="dxa"/>
            <w:vAlign w:val="center"/>
          </w:tcPr>
          <w:p>
            <w:pPr>
              <w:rPr>
                <w:rFonts w:asciiTheme="minorEastAsia" w:hAnsiTheme="minorEastAsia" w:eastAsiaTheme="minorEastAsia"/>
                <w:szCs w:val="21"/>
              </w:rPr>
            </w:pPr>
            <w:r>
              <w:rPr>
                <w:rFonts w:hint="eastAsia" w:ascii="仿宋" w:hAnsi="仿宋" w:eastAsia="仿宋"/>
                <w:sz w:val="24"/>
                <w:szCs w:val="24"/>
                <w:lang w:val="en-US" w:eastAsia="zh-CN"/>
              </w:rPr>
              <w:t>牵引时患者小腿部位的软垫自动升高或降低并固定患者腿部，同时具有按摩功能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10</w:t>
            </w:r>
          </w:p>
        </w:tc>
        <w:tc>
          <w:tcPr>
            <w:tcW w:w="7749" w:type="dxa"/>
            <w:vAlign w:val="center"/>
          </w:tcPr>
          <w:p>
            <w:pPr>
              <w:numPr>
                <w:ilvl w:val="0"/>
                <w:numId w:val="0"/>
              </w:numPr>
              <w:spacing w:line="300" w:lineRule="exact"/>
              <w:ind w:left="0" w:leftChars="0" w:firstLine="0" w:firstLineChars="0"/>
              <w:rPr>
                <w:rFonts w:asciiTheme="minorEastAsia" w:hAnsiTheme="minorEastAsia" w:eastAsiaTheme="minorEastAsia"/>
                <w:szCs w:val="21"/>
              </w:rPr>
            </w:pPr>
            <w:r>
              <w:rPr>
                <w:rFonts w:hint="eastAsia" w:ascii="仿宋" w:hAnsi="仿宋" w:eastAsia="仿宋" w:cs="仿宋"/>
                <w:sz w:val="24"/>
                <w:szCs w:val="24"/>
                <w:lang w:val="en-US" w:eastAsia="zh-CN"/>
              </w:rPr>
              <w:t>牵引过程可任意调节牵引力，无需停机操作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11</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具有但不限于间歇牵引、连续牵引两种模式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12</w:t>
            </w:r>
          </w:p>
        </w:tc>
        <w:tc>
          <w:tcPr>
            <w:tcW w:w="7749"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腰部牵引可采用坐姿进行治疗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13</w:t>
            </w:r>
          </w:p>
        </w:tc>
        <w:tc>
          <w:tcPr>
            <w:tcW w:w="7749" w:type="dxa"/>
            <w:vAlign w:val="center"/>
          </w:tcPr>
          <w:p>
            <w:pPr>
              <w:rPr>
                <w:rFonts w:asciiTheme="minorEastAsia" w:hAnsiTheme="minorEastAsia" w:eastAsiaTheme="minorEastAsia"/>
                <w:szCs w:val="21"/>
              </w:rPr>
            </w:pPr>
            <w:r>
              <w:rPr>
                <w:rFonts w:hint="eastAsia" w:ascii="仿宋" w:hAnsi="仿宋" w:eastAsia="仿宋" w:cs="仿宋"/>
                <w:sz w:val="24"/>
                <w:szCs w:val="24"/>
                <w:lang w:val="en-US" w:eastAsia="zh-CN"/>
              </w:rPr>
              <w:t>腰椎牵引力：50~990N，步进10N；颈椎牵引力：10~250N，步进10N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14</w:t>
            </w:r>
          </w:p>
        </w:tc>
        <w:tc>
          <w:tcPr>
            <w:tcW w:w="7749"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持续/休止时间：0~99s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15</w:t>
            </w:r>
          </w:p>
        </w:tc>
        <w:tc>
          <w:tcPr>
            <w:tcW w:w="7749"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治疗时间：1~99min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16</w:t>
            </w:r>
          </w:p>
        </w:tc>
        <w:tc>
          <w:tcPr>
            <w:tcW w:w="7749"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配有腿部感应器，根据腿部肌肉厚度调节固定压力，压力可在3个阶段内调节。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17</w:t>
            </w:r>
          </w:p>
        </w:tc>
        <w:tc>
          <w:tcPr>
            <w:tcW w:w="7749"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牵引固定：腰部自动绑带、腿部气囊包裹、腋下自动摆臂。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18</w:t>
            </w:r>
          </w:p>
        </w:tc>
        <w:tc>
          <w:tcPr>
            <w:tcW w:w="7749" w:type="dxa"/>
            <w:vAlign w:val="center"/>
          </w:tcPr>
          <w:p>
            <w:pPr>
              <w:spacing w:line="300" w:lineRule="exact"/>
              <w:rPr>
                <w:rFonts w:asciiTheme="minorEastAsia" w:hAnsiTheme="minorEastAsia" w:eastAsiaTheme="minorEastAsia"/>
                <w:szCs w:val="21"/>
              </w:rPr>
            </w:pPr>
            <w:r>
              <w:rPr>
                <w:rFonts w:hint="eastAsia" w:ascii="仿宋" w:hAnsi="仿宋" w:eastAsia="仿宋" w:cs="仿宋"/>
                <w:sz w:val="24"/>
                <w:szCs w:val="24"/>
                <w:lang w:val="en-US" w:eastAsia="zh-CN"/>
              </w:rPr>
              <w:t>腰部牵引采用坐姿就可进行自动牵引，避免患者仰卧时的痛苦</w:t>
            </w:r>
          </w:p>
        </w:tc>
      </w:tr>
    </w:tbl>
    <w:p>
      <w:pPr>
        <w:rPr>
          <w:color w:val="FF0000"/>
        </w:rPr>
      </w:pPr>
      <w:r>
        <w:rPr>
          <w:rFonts w:hint="eastAsia"/>
          <w:color w:val="FF0000"/>
        </w:rPr>
        <w:t>注：核心技术要求（以★号标注）为技术条款实质性要求（即投标无效条款），不允许负偏离，如出现负偏离则作投标无效处理。技术要求中的“▲”配置要求为重点指标，不作为投标无效条款。”</w:t>
      </w:r>
    </w:p>
    <w:p>
      <w:pPr>
        <w:rPr>
          <w:rFonts w:ascii="Arial" w:hAnsi="Arial" w:cs="Verdana"/>
          <w:b/>
          <w:kern w:val="0"/>
          <w:sz w:val="24"/>
          <w:szCs w:val="20"/>
        </w:rPr>
      </w:pPr>
    </w:p>
    <w:bookmarkEnd w:id="5"/>
    <w:p>
      <w:pPr>
        <w:pStyle w:val="6"/>
        <w:jc w:val="center"/>
        <w:rPr>
          <w:b w:val="0"/>
          <w:bCs w:val="0"/>
          <w:sz w:val="24"/>
          <w:szCs w:val="24"/>
        </w:rPr>
      </w:pPr>
      <w:bookmarkStart w:id="6" w:name="_Toc128884465"/>
      <w:bookmarkStart w:id="7" w:name="_Toc194467280"/>
      <w:r>
        <w:rPr>
          <w:rFonts w:hint="eastAsia"/>
          <w:b w:val="0"/>
          <w:bCs w:val="0"/>
          <w:sz w:val="24"/>
          <w:szCs w:val="24"/>
        </w:rPr>
        <w:t>（三）交货要求</w:t>
      </w:r>
    </w:p>
    <w:p>
      <w:pPr>
        <w:ind w:firstLine="210" w:firstLineChars="100"/>
      </w:pPr>
      <w:r>
        <w:rPr>
          <w:rFonts w:hint="eastAsia"/>
        </w:rPr>
        <w:t>1、产品交货要求：提供产品合格证及货物清单；</w:t>
      </w:r>
    </w:p>
    <w:p>
      <w:pPr>
        <w:ind w:firstLine="210" w:firstLineChars="100"/>
      </w:pPr>
      <w:r>
        <w:rPr>
          <w:rFonts w:hint="eastAsia"/>
        </w:rPr>
        <w:t>2、交货期的要求：签订合同后（</w:t>
      </w:r>
      <w:r>
        <w:rPr>
          <w:rFonts w:hint="eastAsia"/>
          <w:lang w:val="en-US" w:eastAsia="zh-CN"/>
        </w:rPr>
        <w:t>6</w:t>
      </w:r>
      <w:r>
        <w:rPr>
          <w:rFonts w:hint="eastAsia"/>
        </w:rPr>
        <w:t>0）日历日内在交货地点交货；供应商在应答时对其所投项目应提交详细的《交货进度表》，列明交货计划等，在合同规定的时间内完工验收。</w:t>
      </w:r>
    </w:p>
    <w:p>
      <w:pPr>
        <w:ind w:firstLine="210" w:firstLineChars="100"/>
      </w:pPr>
      <w:r>
        <w:rPr>
          <w:rFonts w:hint="eastAsia"/>
        </w:rPr>
        <w:t>3、交货地点：使用单位指定的地点；</w:t>
      </w:r>
    </w:p>
    <w:p>
      <w:pPr>
        <w:ind w:firstLine="210" w:firstLineChars="100"/>
      </w:pPr>
      <w:r>
        <w:rPr>
          <w:rFonts w:hint="eastAsia"/>
        </w:rPr>
        <w:t>4、包装要求和运输方式：常规包装，运输方式由供应商自定。由于不适当包装或不适当装运而造成货物在运输过程中有任何损失的，一律由供应商负责。</w:t>
      </w:r>
    </w:p>
    <w:p>
      <w:pPr>
        <w:ind w:firstLine="210" w:firstLineChars="100"/>
      </w:pPr>
      <w:r>
        <w:rPr>
          <w:rFonts w:hint="eastAsia"/>
        </w:rPr>
        <w:t>5、风险承担：货物交付给使用单位验收合格前的所有风险由供应商承担。</w:t>
      </w:r>
    </w:p>
    <w:p/>
    <w:p>
      <w:pPr>
        <w:pStyle w:val="5"/>
        <w:jc w:val="center"/>
        <w:rPr>
          <w:rFonts w:ascii="黑体" w:eastAsia="黑体"/>
          <w:b w:val="0"/>
          <w:kern w:val="0"/>
          <w:sz w:val="24"/>
        </w:rPr>
      </w:pPr>
      <w:bookmarkStart w:id="8" w:name="_Toc194467279"/>
      <w:r>
        <w:rPr>
          <w:rFonts w:hint="eastAsia" w:ascii="黑体" w:eastAsia="黑体"/>
          <w:b w:val="0"/>
          <w:kern w:val="0"/>
          <w:sz w:val="24"/>
        </w:rPr>
        <w:t>二、项目管理要求</w:t>
      </w:r>
      <w:bookmarkEnd w:id="8"/>
    </w:p>
    <w:p>
      <w:pPr>
        <w:pStyle w:val="5"/>
        <w:jc w:val="center"/>
        <w:rPr>
          <w:rFonts w:ascii="黑体" w:eastAsia="黑体"/>
          <w:b w:val="0"/>
          <w:kern w:val="0"/>
          <w:sz w:val="24"/>
        </w:rPr>
      </w:pPr>
      <w:r>
        <w:rPr>
          <w:rFonts w:hint="eastAsia" w:ascii="黑体" w:eastAsia="黑体"/>
          <w:b w:val="0"/>
          <w:kern w:val="0"/>
          <w:sz w:val="24"/>
        </w:rPr>
        <w:t>（一）关于验收及付款</w:t>
      </w:r>
    </w:p>
    <w:p>
      <w:pPr>
        <w:ind w:firstLine="420" w:firstLineChars="200"/>
      </w:pPr>
      <w:r>
        <w:t>1</w:t>
      </w:r>
      <w:r>
        <w:rPr>
          <w:rFonts w:hint="eastAsia"/>
        </w:rPr>
        <w:t>、成交供应商负责将货物运到合同约定地点，由双方负责验收，验收方式按合同约定方式进行；国家有规范要求强制送检的，还</w:t>
      </w:r>
      <w:bookmarkStart w:id="167" w:name="_GoBack"/>
      <w:bookmarkEnd w:id="167"/>
      <w:r>
        <w:rPr>
          <w:rFonts w:hint="eastAsia"/>
        </w:rPr>
        <w:t>应送国家认可的检测机构进行检测。</w:t>
      </w:r>
    </w:p>
    <w:p>
      <w:pPr>
        <w:ind w:firstLine="420" w:firstLineChars="200"/>
      </w:pPr>
      <w:r>
        <w:rPr>
          <w:rFonts w:hint="eastAsia"/>
        </w:rPr>
        <w:t>2、当满足以下条件时，使用单位才向成交供应商签发货物验收报告：</w:t>
      </w:r>
    </w:p>
    <w:p>
      <w:pPr>
        <w:ind w:firstLine="359" w:firstLineChars="171"/>
      </w:pPr>
      <w:r>
        <w:t>a</w:t>
      </w:r>
      <w:r>
        <w:rPr>
          <w:rFonts w:hint="eastAsia"/>
        </w:rPr>
        <w:t>、成交单位已按照合同规定提供了全部产品及完整的技术资料。</w:t>
      </w:r>
    </w:p>
    <w:p>
      <w:pPr>
        <w:ind w:firstLine="359" w:firstLineChars="171"/>
      </w:pPr>
      <w:r>
        <w:t>b</w:t>
      </w:r>
      <w:r>
        <w:rPr>
          <w:rFonts w:hint="eastAsia"/>
        </w:rPr>
        <w:t>、货物符合采购文件技术规格的要求，性能满足要求。</w:t>
      </w:r>
    </w:p>
    <w:p>
      <w:pPr>
        <w:ind w:firstLine="359" w:firstLineChars="171"/>
      </w:pPr>
      <w:r>
        <w:t>c</w:t>
      </w:r>
      <w:r>
        <w:rPr>
          <w:rFonts w:hint="eastAsia"/>
        </w:rPr>
        <w:t>、货物具备产品合格证。</w:t>
      </w:r>
    </w:p>
    <w:p>
      <w:pPr>
        <w:ind w:firstLine="420" w:firstLineChars="200"/>
      </w:pPr>
      <w:r>
        <w:rPr>
          <w:rFonts w:hint="eastAsia"/>
        </w:rPr>
        <w:t>3、供应商货物经过使用单位检验认可后，签署验收报告。</w:t>
      </w:r>
    </w:p>
    <w:p>
      <w:pPr>
        <w:ind w:firstLine="420" w:firstLineChars="200"/>
        <w:rPr>
          <w:rFonts w:ascii="仿宋_GB2312" w:eastAsia="仿宋_GB2312"/>
          <w:sz w:val="24"/>
        </w:rPr>
      </w:pPr>
      <w:r>
        <w:rPr>
          <w:rFonts w:hint="eastAsia"/>
        </w:rPr>
        <w:t>4、付款：按采购单位相关规定执行。</w:t>
      </w:r>
    </w:p>
    <w:p>
      <w:pPr>
        <w:pStyle w:val="5"/>
        <w:jc w:val="center"/>
      </w:pPr>
      <w:r>
        <w:rPr>
          <w:rFonts w:hint="eastAsia" w:ascii="黑体" w:eastAsia="黑体"/>
          <w:b w:val="0"/>
          <w:kern w:val="0"/>
          <w:sz w:val="24"/>
        </w:rPr>
        <w:t>（二）售后服务的要求</w:t>
      </w:r>
    </w:p>
    <w:p>
      <w:pPr>
        <w:ind w:firstLine="420" w:firstLineChars="200"/>
      </w:pPr>
      <w:r>
        <w:rPr>
          <w:rFonts w:hint="eastAsia"/>
        </w:rPr>
        <w:t>1、提供（2）年的质保服务，本地化</w:t>
      </w:r>
      <w:r>
        <w:rPr>
          <w:rFonts w:hint="eastAsia"/>
          <w:u w:val="single"/>
        </w:rPr>
        <w:t>24</w:t>
      </w:r>
      <w:r>
        <w:rPr>
          <w:rFonts w:hint="eastAsia"/>
        </w:rPr>
        <w:t>小时服务，质保期自验收合格之日起算。</w:t>
      </w:r>
    </w:p>
    <w:p>
      <w:pPr>
        <w:ind w:firstLine="420" w:firstLineChars="200"/>
      </w:pPr>
      <w:r>
        <w:rPr>
          <w:rFonts w:hint="eastAsia"/>
        </w:rPr>
        <w:t>2、保修期内</w:t>
      </w:r>
      <w:r>
        <w:t>的承诺</w:t>
      </w:r>
      <w:r>
        <w:rPr>
          <w:rFonts w:hint="eastAsia"/>
        </w:rPr>
        <w:t>：</w:t>
      </w:r>
      <w:r>
        <w:t>保修期内</w:t>
      </w:r>
      <w:r>
        <w:rPr>
          <w:rFonts w:hint="eastAsia"/>
        </w:rPr>
        <w:t>，</w:t>
      </w:r>
      <w:r>
        <w:t>设备如发生故障，</w:t>
      </w:r>
      <w:r>
        <w:rPr>
          <w:rFonts w:hint="eastAsia"/>
        </w:rPr>
        <w:t>成交供应商</w:t>
      </w:r>
      <w:r>
        <w:t>维修人员应在接到故障通知后</w:t>
      </w:r>
      <w:r>
        <w:rPr>
          <w:u w:val="single"/>
        </w:rPr>
        <w:t>12</w:t>
      </w:r>
      <w:r>
        <w:t>小时内赴故障现场对设备进行</w:t>
      </w:r>
      <w:r>
        <w:rPr>
          <w:rFonts w:hint="eastAsia"/>
        </w:rPr>
        <w:t>抢</w:t>
      </w:r>
      <w:r>
        <w:t>修；如需更换小部件，应在接到故障通知</w:t>
      </w:r>
      <w:r>
        <w:rPr>
          <w:u w:val="single"/>
        </w:rPr>
        <w:t>24</w:t>
      </w:r>
      <w:r>
        <w:t>小时内更换修理完毕；如要更换大部件，应在接到故障通知</w:t>
      </w:r>
      <w:r>
        <w:rPr>
          <w:u w:val="single"/>
        </w:rPr>
        <w:t>2</w:t>
      </w:r>
      <w:r>
        <w:t>天内更换修理完毕。</w:t>
      </w:r>
    </w:p>
    <w:p>
      <w:pPr>
        <w:ind w:firstLine="420" w:firstLineChars="200"/>
      </w:pPr>
      <w:r>
        <w:rPr>
          <w:rFonts w:hint="eastAsia"/>
        </w:rPr>
        <w:t>3、</w:t>
      </w:r>
      <w:r>
        <w:t>在保</w:t>
      </w:r>
      <w:r>
        <w:rPr>
          <w:rFonts w:hint="eastAsia"/>
        </w:rPr>
        <w:t>修</w:t>
      </w:r>
      <w:r>
        <w:t>期满以后，成交</w:t>
      </w:r>
      <w:r>
        <w:rPr>
          <w:rFonts w:hint="eastAsia"/>
        </w:rPr>
        <w:t>供应商</w:t>
      </w:r>
      <w:r>
        <w:t>应按其在深圳地区同类产品的最优惠价格提供保修服务。</w:t>
      </w:r>
    </w:p>
    <w:p>
      <w:pPr>
        <w:ind w:firstLine="420" w:firstLineChars="200"/>
      </w:pPr>
      <w:r>
        <w:rPr>
          <w:rFonts w:hint="eastAsia"/>
        </w:rPr>
        <w:t>4、</w:t>
      </w:r>
      <w:r>
        <w:t>成交</w:t>
      </w:r>
      <w:r>
        <w:rPr>
          <w:rFonts w:hint="eastAsia"/>
        </w:rPr>
        <w:t>供应商</w:t>
      </w:r>
      <w:r>
        <w:t>应负责免费对用户的操作、维修、保养</w:t>
      </w:r>
      <w:r>
        <w:rPr>
          <w:rFonts w:hint="eastAsia"/>
        </w:rPr>
        <w:t>的</w:t>
      </w:r>
      <w:r>
        <w:t>人员</w:t>
      </w:r>
      <w:r>
        <w:rPr>
          <w:rFonts w:hint="eastAsia"/>
        </w:rPr>
        <w:t>（至少2名）</w:t>
      </w:r>
      <w:r>
        <w:t>进行培训(并提供设备使用维护说明书)</w:t>
      </w:r>
      <w:r>
        <w:rPr>
          <w:rFonts w:hint="eastAsia"/>
        </w:rPr>
        <w:t>，具体培训时间和培训方案应由双方协商制定。</w:t>
      </w:r>
    </w:p>
    <w:p>
      <w:pPr>
        <w:ind w:firstLine="420" w:firstLineChars="200"/>
      </w:pPr>
      <w:r>
        <w:rPr>
          <w:rFonts w:hint="eastAsia"/>
        </w:rPr>
        <w:t>5、售后服务机构的名称、地址、联系电话</w:t>
      </w:r>
      <w:r>
        <w:t>。</w:t>
      </w:r>
    </w:p>
    <w:p>
      <w:pPr>
        <w:ind w:firstLine="420" w:firstLineChars="200"/>
      </w:pPr>
    </w:p>
    <w:p>
      <w:pPr>
        <w:ind w:firstLine="420" w:firstLineChars="200"/>
      </w:pPr>
    </w:p>
    <w:p>
      <w:pPr>
        <w:ind w:firstLine="420" w:firstLineChars="200"/>
      </w:pPr>
    </w:p>
    <w:p>
      <w:pPr>
        <w:pStyle w:val="5"/>
        <w:jc w:val="center"/>
        <w:rPr>
          <w:rFonts w:ascii="黑体" w:eastAsia="黑体"/>
          <w:b w:val="0"/>
          <w:kern w:val="0"/>
          <w:sz w:val="24"/>
        </w:rPr>
      </w:pPr>
      <w:r>
        <w:rPr>
          <w:rFonts w:hint="eastAsia"/>
          <w:kern w:val="0"/>
        </w:rPr>
        <w:t>三、</w:t>
      </w:r>
      <w:bookmarkEnd w:id="6"/>
      <w:r>
        <w:rPr>
          <w:rFonts w:hint="eastAsia"/>
          <w:kern w:val="0"/>
        </w:rPr>
        <w:t>项目商务要求</w:t>
      </w:r>
      <w:bookmarkEnd w:id="7"/>
    </w:p>
    <w:p>
      <w:pPr>
        <w:pStyle w:val="6"/>
        <w:jc w:val="center"/>
        <w:rPr>
          <w:b w:val="0"/>
          <w:bCs w:val="0"/>
          <w:sz w:val="24"/>
          <w:szCs w:val="24"/>
        </w:rPr>
      </w:pPr>
      <w:r>
        <w:rPr>
          <w:rFonts w:hint="eastAsia"/>
          <w:b w:val="0"/>
          <w:bCs w:val="0"/>
          <w:sz w:val="24"/>
          <w:szCs w:val="24"/>
        </w:rPr>
        <w:t>（一）合格的货物和服务</w:t>
      </w:r>
    </w:p>
    <w:p>
      <w:pPr>
        <w:ind w:firstLine="210" w:firstLineChars="100"/>
      </w:pPr>
      <w:r>
        <w:rPr>
          <w:rFonts w:hint="eastAsia"/>
        </w:rPr>
        <w:t>1、所投产品必须是全新的原装合格正品，如安装或配置了软件的，须为正版软件，软件有序列号的，须提供序列号。</w:t>
      </w:r>
    </w:p>
    <w:p>
      <w:pPr>
        <w:ind w:firstLine="210" w:firstLineChars="100"/>
      </w:pPr>
      <w:r>
        <w:rPr>
          <w:rFonts w:hint="eastAsia"/>
        </w:rPr>
        <w:t>2、国产的货物及其有关服务必须符合中华人民共和国的设计、生产或服务的行业标准。</w:t>
      </w:r>
    </w:p>
    <w:p>
      <w:pPr>
        <w:ind w:firstLine="210" w:firstLineChars="100"/>
      </w:pPr>
      <w:r>
        <w:rPr>
          <w:rFonts w:hint="eastAsia"/>
        </w:rPr>
        <w:t>3、供应商应保证，其所提供的货物在提供给使用单位前具有完全的所有权，使用单位在中华人民共和国使用该货物或货物的任何一部分时，免受第三方提出的包括但不限于侵犯其专利权、商标权、服务标志和工业设计权等知识产权和抵押权在内的担保物权的索赔或起诉。</w:t>
      </w:r>
    </w:p>
    <w:p>
      <w:pPr>
        <w:ind w:firstLine="210" w:firstLineChars="100"/>
      </w:pPr>
      <w:r>
        <w:rPr>
          <w:rFonts w:hint="eastAsia"/>
        </w:rPr>
        <w:t>4、供应商应保证，其所提供的货物应具有质量监督部门或质量检测机构提供的产品《检验报告》或证明产品合格证书。设备到货验收时，还必须提供设备的产品合格证、质量保证文件。若成交后，必须按合同规定完成设备的安装，并达到验收标准。</w:t>
      </w:r>
    </w:p>
    <w:p>
      <w:pPr>
        <w:ind w:firstLine="210" w:firstLineChars="100"/>
      </w:pPr>
      <w:r>
        <w:rPr>
          <w:rFonts w:hint="eastAsia"/>
        </w:rPr>
        <w:t>5、除非下文另有规定，产品</w:t>
      </w:r>
      <w:r>
        <w:t>有效期</w:t>
      </w:r>
      <w:r>
        <w:rPr>
          <w:rFonts w:hint="eastAsia"/>
        </w:rPr>
        <w:t>为：</w:t>
      </w:r>
      <w:r>
        <w:t>密封存放在阴凉、干燥、通风、温度为</w:t>
      </w:r>
      <w:r>
        <w:rPr>
          <w:rFonts w:hint="eastAsia"/>
        </w:rPr>
        <w:t>-5</w:t>
      </w:r>
      <w:r>
        <w:t>°Ｃ～４０°Ｃ的环境中，有效期</w:t>
      </w:r>
      <w:r>
        <w:rPr>
          <w:rFonts w:hint="eastAsia"/>
        </w:rPr>
        <w:t>应符合行业相关规范</w:t>
      </w:r>
      <w:r>
        <w:t>。</w:t>
      </w:r>
      <w:r>
        <w:rPr>
          <w:rFonts w:hint="eastAsia"/>
        </w:rPr>
        <w:t>特殊要求的另行规定。</w:t>
      </w:r>
    </w:p>
    <w:p>
      <w:pPr>
        <w:ind w:firstLine="210" w:firstLineChars="100"/>
      </w:pPr>
      <w:r>
        <w:rPr>
          <w:rFonts w:hint="eastAsia"/>
        </w:rPr>
        <w:t>6、供应商必须承担的设备运输、安装调试、验收检测和提供设备操作说明书、图纸等其他类似的义务。</w:t>
      </w:r>
    </w:p>
    <w:p>
      <w:pPr>
        <w:rPr>
          <w:rFonts w:ascii="宋体" w:hAnsi="宋体"/>
          <w:szCs w:val="21"/>
        </w:rPr>
      </w:pPr>
      <w:r>
        <w:rPr>
          <w:rFonts w:hint="eastAsia" w:ascii="宋体" w:hAnsi="宋体"/>
          <w:szCs w:val="21"/>
        </w:rPr>
        <w:t xml:space="preserve">  7、供应商应提交证明文件证明其应答技术方案项下的货物、工程和服务的合格性，符合采购文件规定。该应答技术方案及其证明文件作为应答文件的一部分。</w:t>
      </w:r>
    </w:p>
    <w:p>
      <w:r>
        <w:rPr>
          <w:rFonts w:hint="eastAsia"/>
        </w:rPr>
        <w:t xml:space="preserve">  8、供应商提供的证明文件，可以是文字资料、图纸、数据或数码照片、制造商公布的产品说明书、技术白皮书、产品彩页和我国政府机构认可的部门出具的产品检验和核准证件等，以证明供应商响应的真实性。它包括并应符合以下要求：</w:t>
      </w:r>
    </w:p>
    <w:p>
      <w:pPr>
        <w:ind w:firstLine="210" w:firstLineChars="100"/>
      </w:pPr>
      <w:r>
        <w:rPr>
          <w:rFonts w:hint="eastAsia"/>
        </w:rPr>
        <w:t>8.1、主要技术指标和性能的详细说明。</w:t>
      </w:r>
    </w:p>
    <w:p>
      <w:pPr>
        <w:ind w:firstLine="210" w:firstLineChars="100"/>
      </w:pPr>
      <w:r>
        <w:rPr>
          <w:rFonts w:hint="eastAsia"/>
        </w:rPr>
        <w:t>8.2、应答产品从使用单位开始使用至采购文件中规定的周期内正常、连续地使用所必须的备件和专用工具清单，包括备件和专用工具的货源及现行价格。</w:t>
      </w:r>
    </w:p>
    <w:p>
      <w:pPr>
        <w:ind w:firstLine="210" w:firstLineChars="100"/>
      </w:pPr>
      <w:r>
        <w:rPr>
          <w:rFonts w:hint="eastAsia"/>
        </w:rPr>
        <w:t>8.3、对照采购文件技术规格，逐条说明应答技术方案已对使用单位的技术规格、服务标准做出了实质性的响应，或申明偏差和例外。供应商应详细说明应答技术方案中产品的具体参数。</w:t>
      </w:r>
    </w:p>
    <w:p>
      <w:pPr>
        <w:ind w:firstLine="210" w:firstLineChars="100"/>
      </w:pPr>
      <w:r>
        <w:rPr>
          <w:rFonts w:hint="eastAsia"/>
        </w:rPr>
        <w:t>8.4、产品白皮书、技术说明书或彩页应为制造商公布或出具的中文产品说明书或彩页；提供外文说明书或彩页的，必须同时提供加盖制造商公章的对应中文翻译说明，评审依据以中文翻译内容为准，外文说明书或彩页仅供参考；产品说明书或彩页的尺寸和清晰度应该能够在电脑上被阅读、识别和判断，提供原件扫描件；</w:t>
      </w:r>
    </w:p>
    <w:p>
      <w:pPr>
        <w:ind w:firstLine="210" w:firstLineChars="100"/>
      </w:pPr>
      <w:r>
        <w:rPr>
          <w:rFonts w:hint="eastAsia"/>
        </w:rPr>
        <w:t>8.5、我国政府机构出具的产品检验和核准证件应为证件正面、背面和附件标注的全部具体内容；产品检验和核准证件的尺寸和清晰度应该能够在电脑上被阅读、识别和判断，提供原件扫描件。</w:t>
      </w:r>
    </w:p>
    <w:p>
      <w:pPr>
        <w:ind w:firstLine="210" w:firstLineChars="100"/>
      </w:pPr>
      <w:r>
        <w:rPr>
          <w:rFonts w:hint="eastAsia"/>
        </w:rPr>
        <w:t>9、相关资料不符合8款要求的，评审委员会有权认定为应答技术方案不合格响应，其相关分数予以扣减或作投标无效处理。</w:t>
      </w:r>
    </w:p>
    <w:p>
      <w:pPr>
        <w:ind w:firstLine="210" w:firstLineChars="100"/>
      </w:pPr>
      <w:r>
        <w:rPr>
          <w:rFonts w:hint="eastAsia"/>
        </w:rPr>
        <w:t>10、评标委员会有权对以谋取中标为目的的技术规格模糊响应或虚假响应予以认定。供应商上述行为一经发现或查实，除扣分或投标无效外，政府物料供应中心将视情况报政府采购监督管理部门做进一步处理。</w:t>
      </w:r>
    </w:p>
    <w:p>
      <w:pPr>
        <w:ind w:firstLine="210" w:firstLineChars="100"/>
      </w:pPr>
      <w:r>
        <w:rPr>
          <w:rFonts w:hint="eastAsia"/>
        </w:rPr>
        <w:t>11、投标人在阐述上述第8时应注意采购单位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标委员会来评判。</w:t>
      </w:r>
    </w:p>
    <w:p>
      <w:pPr>
        <w:ind w:firstLine="210" w:firstLineChars="100"/>
        <w:rPr>
          <w:color w:val="FF0000"/>
        </w:rPr>
      </w:pPr>
    </w:p>
    <w:p>
      <w:pPr>
        <w:pStyle w:val="6"/>
        <w:jc w:val="center"/>
        <w:rPr>
          <w:b w:val="0"/>
          <w:bCs w:val="0"/>
          <w:sz w:val="24"/>
          <w:szCs w:val="24"/>
        </w:rPr>
      </w:pPr>
      <w:r>
        <w:rPr>
          <w:rFonts w:hint="eastAsia"/>
          <w:b w:val="0"/>
          <w:bCs w:val="0"/>
          <w:sz w:val="24"/>
          <w:szCs w:val="24"/>
        </w:rPr>
        <w:t>（二）报价及合同方式</w:t>
      </w:r>
    </w:p>
    <w:p>
      <w:pPr>
        <w:pStyle w:val="10"/>
        <w:spacing w:beforeLines="25" w:afterLines="25"/>
        <w:ind w:firstLine="392" w:firstLineChars="187"/>
        <w:rPr>
          <w:rFonts w:ascii="宋体" w:hAnsi="宋体"/>
          <w:szCs w:val="21"/>
        </w:rPr>
      </w:pPr>
      <w:r>
        <w:rPr>
          <w:rFonts w:hint="eastAsia" w:ascii="宋体" w:hAnsi="宋体"/>
          <w:szCs w:val="21"/>
        </w:rPr>
        <w:t>1、合同方式：本项目采用总价合同，请成交供应商拿到成交通知书后在10个工作日内与使用单位接洽合同签订事宜。</w:t>
      </w:r>
    </w:p>
    <w:p>
      <w:pPr>
        <w:pStyle w:val="10"/>
        <w:spacing w:beforeLines="25" w:afterLines="25"/>
        <w:ind w:firstLine="392" w:firstLineChars="187"/>
        <w:rPr>
          <w:rFonts w:ascii="宋体" w:hAnsi="宋体"/>
          <w:szCs w:val="21"/>
        </w:rPr>
      </w:pPr>
      <w:r>
        <w:rPr>
          <w:rFonts w:hint="eastAsia" w:ascii="宋体" w:hAnsi="宋体"/>
          <w:szCs w:val="21"/>
        </w:rPr>
        <w:t>2、报价构成</w:t>
      </w:r>
    </w:p>
    <w:p>
      <w:pPr>
        <w:pStyle w:val="10"/>
        <w:spacing w:beforeLines="25" w:afterLines="25"/>
        <w:ind w:firstLine="392" w:firstLineChars="187"/>
        <w:rPr>
          <w:rFonts w:ascii="宋体" w:hAnsi="宋体"/>
          <w:szCs w:val="21"/>
        </w:rPr>
      </w:pPr>
      <w:r>
        <w:rPr>
          <w:rFonts w:hint="eastAsia" w:ascii="宋体" w:hAnsi="宋体"/>
          <w:szCs w:val="21"/>
        </w:rPr>
        <w:t>①企业根据成本自行决定报价，但不得低于其企业成本的报价；</w:t>
      </w:r>
    </w:p>
    <w:p>
      <w:pPr>
        <w:pStyle w:val="10"/>
        <w:spacing w:beforeLines="25" w:afterLines="25"/>
        <w:ind w:firstLine="392" w:firstLineChars="187"/>
        <w:rPr>
          <w:rFonts w:ascii="宋体" w:hAnsi="宋体"/>
          <w:szCs w:val="21"/>
        </w:rPr>
      </w:pPr>
      <w:r>
        <w:rPr>
          <w:rFonts w:hint="eastAsia" w:ascii="宋体" w:hAnsi="宋体"/>
          <w:szCs w:val="21"/>
        </w:rPr>
        <w:t>②供应商的报价不得超过采购文件规定的项目预算金额；</w:t>
      </w:r>
    </w:p>
    <w:p>
      <w:pPr>
        <w:ind w:firstLine="420" w:firstLineChars="200"/>
        <w:rPr>
          <w:rFonts w:ascii="宋体" w:hAnsi="宋体"/>
          <w:color w:val="000000"/>
          <w:szCs w:val="21"/>
        </w:rPr>
      </w:pPr>
      <w:r>
        <w:rPr>
          <w:rFonts w:hint="eastAsia" w:ascii="宋体" w:hAnsi="宋体"/>
          <w:szCs w:val="21"/>
        </w:rPr>
        <w:t>③报价为到货物到达使用单位指定的地点并安装的</w:t>
      </w:r>
      <w:r>
        <w:rPr>
          <w:rFonts w:hint="eastAsia" w:ascii="宋体" w:hAnsi="宋体"/>
          <w:color w:val="000000"/>
          <w:szCs w:val="21"/>
        </w:rPr>
        <w:t>价格。包括设备价（包括硬件、软件）、运至合同指定地点的运输费（包括海外运输、内陆运输、工地场地内水平和垂直运输等所有运输）、采购保管费、安装费（包括损耗、额外材料等）、保险费、税金、安装、技术培训费、风险金、（预埋件）的材料、制作、安装、施工、检测等费用，报价还应包括施工组织措施费、文明施工费、设备和材料二次搬运费、现场保管费、吊装费、工地环保费、治安费、施工垃圾外运费、与其他相关单位配合管理费等所有在使用单位可以使用货物之前的应尽的费用。中标单位所需要的办公室、工人宿舍等须自行解决。其费用使用单位认为已包含在中标单位的报价中。</w:t>
      </w:r>
    </w:p>
    <w:p>
      <w:pPr>
        <w:ind w:firstLine="420" w:firstLineChars="200"/>
        <w:rPr>
          <w:rFonts w:ascii="宋体" w:hAnsi="宋体"/>
          <w:color w:val="000000"/>
          <w:szCs w:val="21"/>
        </w:rPr>
      </w:pPr>
      <w:r>
        <w:rPr>
          <w:rFonts w:hint="eastAsia" w:ascii="宋体" w:hAnsi="宋体"/>
          <w:color w:val="000000"/>
          <w:szCs w:val="21"/>
        </w:rPr>
        <w:t>④国产的货物及其有关服务的报价应包括要向中华人民共和国政府缴纳的增值税和其他税。</w:t>
      </w:r>
    </w:p>
    <w:p>
      <w:pPr>
        <w:ind w:firstLine="420" w:firstLineChars="200"/>
        <w:rPr>
          <w:rFonts w:ascii="宋体" w:hAnsi="宋体"/>
          <w:color w:val="000000"/>
          <w:szCs w:val="21"/>
        </w:rPr>
      </w:pPr>
      <w:r>
        <w:rPr>
          <w:rFonts w:hint="eastAsia" w:ascii="宋体" w:hAnsi="宋体"/>
          <w:color w:val="000000"/>
          <w:szCs w:val="21"/>
        </w:rPr>
        <w:t>⑤</w:t>
      </w:r>
      <w:r>
        <w:rPr>
          <w:rFonts w:ascii="宋体" w:hAnsi="宋体"/>
          <w:color w:val="000000"/>
          <w:szCs w:val="21"/>
        </w:rPr>
        <w:t>在中华人民共和国境内提供的</w:t>
      </w:r>
      <w:r>
        <w:rPr>
          <w:rFonts w:hint="eastAsia" w:ascii="宋体" w:hAnsi="宋体"/>
          <w:color w:val="000000"/>
          <w:szCs w:val="21"/>
        </w:rPr>
        <w:t>进口货物及其有关服务的报价应包括要向中华人民共和国政府缴纳的关税、增值税和其他税。</w:t>
      </w:r>
    </w:p>
    <w:p>
      <w:pPr>
        <w:pStyle w:val="10"/>
        <w:spacing w:beforeLines="25" w:afterLines="25"/>
        <w:ind w:firstLine="392" w:firstLineChars="187"/>
        <w:rPr>
          <w:rFonts w:ascii="宋体" w:hAnsi="宋体"/>
          <w:color w:val="000000"/>
          <w:szCs w:val="21"/>
        </w:rPr>
      </w:pPr>
      <w:r>
        <w:rPr>
          <w:rFonts w:hint="eastAsia" w:ascii="宋体" w:hAnsi="宋体"/>
          <w:color w:val="000000"/>
          <w:szCs w:val="21"/>
        </w:rPr>
        <w:t>⑥供应商的报价，应是本项目采购范围和采购文件及合同条款上所列的各项内容中所述的全部，不得以任何理由予以重复，并以供应商在价格标中提出的单价或总价为依据；</w:t>
      </w:r>
    </w:p>
    <w:p>
      <w:pPr>
        <w:pStyle w:val="10"/>
        <w:spacing w:beforeLines="25" w:afterLines="25"/>
        <w:ind w:firstLine="392" w:firstLineChars="187"/>
        <w:rPr>
          <w:rFonts w:ascii="宋体" w:hAnsi="宋体"/>
          <w:color w:val="000000"/>
          <w:szCs w:val="21"/>
        </w:rPr>
      </w:pPr>
      <w:r>
        <w:rPr>
          <w:rFonts w:hint="eastAsia" w:ascii="宋体" w:hAnsi="宋体"/>
          <w:color w:val="000000"/>
          <w:szCs w:val="21"/>
        </w:rPr>
        <w:t>⑦本项目费用采用包干制，应包括成本、法定税费和企业管理费、利润。</w:t>
      </w:r>
    </w:p>
    <w:p>
      <w:pPr>
        <w:pStyle w:val="10"/>
        <w:spacing w:beforeLines="25" w:afterLines="25"/>
        <w:ind w:firstLine="392" w:firstLineChars="187"/>
        <w:rPr>
          <w:rFonts w:ascii="宋体" w:hAnsi="宋体"/>
          <w:color w:val="000000"/>
          <w:szCs w:val="21"/>
        </w:rPr>
      </w:pPr>
      <w:r>
        <w:rPr>
          <w:rFonts w:hint="eastAsia" w:ascii="宋体" w:hAnsi="宋体"/>
          <w:color w:val="000000"/>
          <w:szCs w:val="21"/>
        </w:rPr>
        <w:t>⑧除非政府物料供应中心通过修改采购文件予以更正，否则，供应商应毫无例外地按采购文件所列的清单中项目和数量填报单价和合价。供应商未填单价或合价的项目，在实施后，将不得以支付，并视作该项费用已包括在其它有价款的单价或合价内；</w:t>
      </w:r>
    </w:p>
    <w:p>
      <w:pPr>
        <w:pStyle w:val="10"/>
        <w:spacing w:beforeLines="25" w:afterLines="25"/>
        <w:ind w:firstLine="392" w:firstLineChars="187"/>
        <w:rPr>
          <w:rFonts w:ascii="宋体" w:hAnsi="宋体"/>
          <w:color w:val="000000"/>
          <w:szCs w:val="21"/>
        </w:rPr>
      </w:pPr>
      <w:r>
        <w:rPr>
          <w:rFonts w:hint="eastAsia" w:ascii="宋体" w:hAnsi="宋体"/>
          <w:color w:val="000000"/>
          <w:szCs w:val="21"/>
        </w:rPr>
        <w:t>⑨供应商报价总额一经成交后，成交价即为该项目的合同总价。</w:t>
      </w:r>
    </w:p>
    <w:p>
      <w:pPr>
        <w:pStyle w:val="10"/>
        <w:spacing w:beforeLines="25" w:afterLines="25"/>
        <w:ind w:firstLine="392" w:firstLineChars="187"/>
        <w:rPr>
          <w:rFonts w:ascii="宋体" w:hAnsi="宋体"/>
          <w:color w:val="FF0000"/>
          <w:szCs w:val="21"/>
        </w:rPr>
      </w:pPr>
    </w:p>
    <w:p>
      <w:pPr>
        <w:pStyle w:val="5"/>
        <w:numPr>
          <w:ilvl w:val="0"/>
          <w:numId w:val="4"/>
        </w:numPr>
        <w:jc w:val="center"/>
        <w:rPr>
          <w:rFonts w:ascii="黑体" w:eastAsia="黑体"/>
          <w:b w:val="0"/>
          <w:kern w:val="0"/>
          <w:sz w:val="24"/>
        </w:rPr>
      </w:pPr>
      <w:r>
        <w:rPr>
          <w:rFonts w:hint="eastAsia" w:ascii="黑体" w:eastAsia="黑体"/>
          <w:b w:val="0"/>
          <w:kern w:val="0"/>
          <w:sz w:val="24"/>
        </w:rPr>
        <w:t>应答文件组成</w:t>
      </w:r>
    </w:p>
    <w:p>
      <w:pPr>
        <w:pStyle w:val="10"/>
        <w:spacing w:beforeLines="25" w:afterLines="25"/>
        <w:ind w:firstLine="394" w:firstLineChars="187"/>
        <w:rPr>
          <w:rFonts w:ascii="宋体" w:hAnsi="宋体"/>
          <w:b/>
          <w:szCs w:val="21"/>
        </w:rPr>
      </w:pPr>
      <w:r>
        <w:rPr>
          <w:rFonts w:hint="eastAsia" w:ascii="宋体" w:hAnsi="宋体"/>
          <w:b/>
          <w:szCs w:val="21"/>
        </w:rPr>
        <w:t>重要提醒：应答文件分为正文和附件两部分。供应商在编辑应答文件时，在应答文件目录中属于本节点内容的必须在本节点中填写，填写到其他节点或附件的将可能导致投标无效，一切后果由供应商自行承担。</w:t>
      </w:r>
    </w:p>
    <w:p>
      <w:pPr>
        <w:rPr>
          <w:rFonts w:ascii="Arial" w:hAnsi="Arial" w:eastAsia="黑体" w:cs="Verdana"/>
          <w:b/>
          <w:kern w:val="0"/>
          <w:sz w:val="24"/>
          <w:szCs w:val="20"/>
        </w:rPr>
      </w:pPr>
    </w:p>
    <w:p>
      <w:pPr>
        <w:ind w:firstLine="420" w:firstLineChars="200"/>
        <w:rPr>
          <w:rFonts w:ascii="宋体" w:hAnsi="宋体"/>
          <w:szCs w:val="21"/>
        </w:rPr>
      </w:pPr>
      <w:r>
        <w:rPr>
          <w:rFonts w:hint="eastAsia" w:ascii="宋体" w:hAnsi="宋体"/>
          <w:szCs w:val="21"/>
        </w:rPr>
        <w:t>供应商编写的应答文件应包括下列部分：</w:t>
      </w:r>
    </w:p>
    <w:p>
      <w:pPr>
        <w:ind w:firstLine="420" w:firstLineChars="200"/>
        <w:rPr>
          <w:rFonts w:ascii="宋体" w:hAnsi="宋体"/>
          <w:szCs w:val="21"/>
        </w:rPr>
      </w:pPr>
      <w:r>
        <w:rPr>
          <w:rFonts w:hint="eastAsia" w:ascii="宋体" w:hAnsi="宋体"/>
          <w:szCs w:val="21"/>
        </w:rPr>
        <w:t>1、应答文件正文，主要包括以下内容：</w:t>
      </w:r>
    </w:p>
    <w:p>
      <w:pPr>
        <w:ind w:firstLine="840" w:firstLineChars="400"/>
        <w:rPr>
          <w:rFonts w:ascii="宋体" w:hAnsi="宋体"/>
          <w:szCs w:val="21"/>
        </w:rPr>
      </w:pPr>
      <w:r>
        <w:rPr>
          <w:rFonts w:hint="eastAsia" w:ascii="宋体" w:hAnsi="宋体"/>
          <w:szCs w:val="21"/>
        </w:rPr>
        <w:t>（1）应答承诺书</w:t>
      </w:r>
    </w:p>
    <w:p>
      <w:pPr>
        <w:ind w:firstLine="840" w:firstLineChars="400"/>
        <w:rPr>
          <w:rFonts w:ascii="宋体" w:hAnsi="宋体"/>
          <w:szCs w:val="21"/>
        </w:rPr>
      </w:pPr>
      <w:r>
        <w:rPr>
          <w:rFonts w:hint="eastAsia" w:ascii="宋体" w:hAnsi="宋体"/>
          <w:szCs w:val="21"/>
        </w:rPr>
        <w:t>（2）供应商情况介绍</w:t>
      </w:r>
    </w:p>
    <w:p>
      <w:pPr>
        <w:ind w:firstLine="840" w:firstLineChars="400"/>
        <w:rPr>
          <w:rFonts w:ascii="宋体" w:hAnsi="宋体"/>
          <w:szCs w:val="21"/>
        </w:rPr>
      </w:pPr>
      <w:r>
        <w:rPr>
          <w:rFonts w:hint="eastAsia" w:ascii="宋体" w:hAnsi="宋体"/>
          <w:szCs w:val="21"/>
        </w:rPr>
        <w:t>（3）货物说明一览表</w:t>
      </w:r>
    </w:p>
    <w:p>
      <w:pPr>
        <w:ind w:firstLine="840" w:firstLineChars="400"/>
        <w:rPr>
          <w:rFonts w:ascii="宋体" w:hAnsi="宋体"/>
          <w:szCs w:val="21"/>
        </w:rPr>
      </w:pPr>
      <w:r>
        <w:rPr>
          <w:rFonts w:hint="eastAsia" w:ascii="宋体" w:hAnsi="宋体"/>
          <w:szCs w:val="21"/>
        </w:rPr>
        <w:t>（4）分项报价清单</w:t>
      </w:r>
    </w:p>
    <w:p>
      <w:pPr>
        <w:ind w:firstLine="840" w:firstLineChars="400"/>
        <w:rPr>
          <w:rFonts w:ascii="宋体" w:hAnsi="宋体"/>
          <w:szCs w:val="21"/>
        </w:rPr>
      </w:pPr>
      <w:r>
        <w:rPr>
          <w:rFonts w:hint="eastAsia" w:ascii="宋体" w:hAnsi="宋体"/>
          <w:szCs w:val="21"/>
        </w:rPr>
        <w:t>（5）技术规格偏离表</w:t>
      </w:r>
    </w:p>
    <w:p>
      <w:pPr>
        <w:ind w:firstLine="840" w:firstLineChars="4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）售后服务内容</w:t>
      </w:r>
    </w:p>
    <w:p>
      <w:pPr>
        <w:ind w:firstLine="840" w:firstLineChars="400"/>
        <w:rPr>
          <w:rFonts w:ascii="宋体" w:hAnsi="宋体"/>
          <w:szCs w:val="21"/>
        </w:rPr>
      </w:pPr>
      <w:r>
        <w:rPr>
          <w:rFonts w:hint="eastAsia" w:ascii="宋体" w:hAnsi="宋体"/>
          <w:szCs w:val="21"/>
        </w:rPr>
        <w:t>（7）项目实施方案</w:t>
      </w:r>
    </w:p>
    <w:p>
      <w:pPr>
        <w:ind w:firstLine="840" w:firstLineChars="40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）法定代表人资格证明书</w:t>
      </w:r>
    </w:p>
    <w:p>
      <w:pPr>
        <w:ind w:firstLine="840" w:firstLineChars="4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）应答文件签署授权委托书</w:t>
      </w:r>
    </w:p>
    <w:p>
      <w:pPr>
        <w:ind w:firstLine="840" w:firstLineChars="4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）供应商认为需要加以说明的其他内容</w:t>
      </w:r>
    </w:p>
    <w:p>
      <w:pPr>
        <w:ind w:firstLine="420" w:firstLineChars="200"/>
        <w:rPr>
          <w:rFonts w:ascii="宋体" w:hAnsi="宋体"/>
          <w:szCs w:val="21"/>
        </w:rPr>
      </w:pPr>
      <w:r>
        <w:rPr>
          <w:rFonts w:hint="eastAsia" w:ascii="宋体" w:hAnsi="宋体"/>
          <w:szCs w:val="21"/>
        </w:rPr>
        <w:t>2、应答文件附件，主要包括以下内容：</w:t>
      </w:r>
    </w:p>
    <w:p>
      <w:pPr>
        <w:ind w:firstLine="840" w:firstLineChars="400"/>
        <w:rPr>
          <w:rFonts w:ascii="宋体" w:hAnsi="宋体"/>
          <w:szCs w:val="21"/>
        </w:rPr>
      </w:pPr>
      <w:r>
        <w:rPr>
          <w:rFonts w:hint="eastAsia" w:ascii="宋体" w:hAnsi="宋体"/>
          <w:szCs w:val="21"/>
        </w:rPr>
        <w:t>（一）开标一览表</w:t>
      </w:r>
    </w:p>
    <w:p>
      <w:pPr>
        <w:ind w:firstLine="840" w:firstLineChars="400"/>
        <w:rPr>
          <w:rFonts w:ascii="宋体" w:hAnsi="宋体"/>
          <w:szCs w:val="21"/>
        </w:rPr>
      </w:pPr>
      <w:r>
        <w:rPr>
          <w:rFonts w:hint="eastAsia" w:ascii="宋体" w:hAnsi="宋体"/>
          <w:szCs w:val="21"/>
        </w:rPr>
        <w:t>（二）应答资格要求</w:t>
      </w:r>
    </w:p>
    <w:p/>
    <w:p>
      <w:pPr>
        <w:pStyle w:val="5"/>
        <w:jc w:val="center"/>
        <w:rPr>
          <w:rFonts w:ascii="黑体" w:eastAsia="黑体"/>
          <w:b w:val="0"/>
          <w:kern w:val="0"/>
          <w:sz w:val="24"/>
        </w:rPr>
      </w:pPr>
      <w:bookmarkStart w:id="9" w:name="_Toc194467282"/>
      <w:r>
        <w:rPr>
          <w:rFonts w:hint="eastAsia" w:ascii="黑体" w:eastAsia="黑体"/>
          <w:b w:val="0"/>
          <w:kern w:val="0"/>
          <w:sz w:val="24"/>
        </w:rPr>
        <w:t>五、注意事项</w:t>
      </w:r>
      <w:bookmarkEnd w:id="9"/>
    </w:p>
    <w:p>
      <w:pPr>
        <w:pStyle w:val="10"/>
        <w:spacing w:beforeLines="25" w:afterLines="25"/>
        <w:ind w:firstLine="392" w:firstLineChars="187"/>
        <w:rPr>
          <w:rFonts w:ascii="宋体" w:hAnsi="宋体"/>
          <w:szCs w:val="21"/>
        </w:rPr>
      </w:pPr>
      <w:r>
        <w:rPr>
          <w:rFonts w:hint="eastAsia" w:ascii="宋体" w:hAnsi="宋体"/>
          <w:szCs w:val="21"/>
        </w:rPr>
        <w:t>1、供应商若认为采购文件的技术要求或其他要求有倾向性或不公正性，可在采购答疑阶段提出，以维护采购行为的公平、公正。任何要求对采购文件进行澄清的供应商，均应于“采购公告”中所述答疑截止时间前按采购公告约定的形式向政府物料供应中心提出。</w:t>
      </w:r>
    </w:p>
    <w:p>
      <w:pPr>
        <w:pStyle w:val="10"/>
        <w:spacing w:beforeLines="25" w:afterLines="25"/>
        <w:ind w:firstLine="392" w:firstLineChars="187"/>
        <w:rPr>
          <w:rFonts w:ascii="宋体" w:hAnsi="宋体"/>
          <w:szCs w:val="21"/>
        </w:rPr>
      </w:pPr>
      <w:r>
        <w:rPr>
          <w:rFonts w:hint="eastAsia" w:ascii="宋体" w:hAnsi="宋体"/>
          <w:szCs w:val="21"/>
        </w:rPr>
        <w:t>2、对于没有提出澄清又参与了该项目应答的供应商将被视为完全认同该采购文件，截止期后不再受理任何针对采购文件的相关投诉。</w:t>
      </w:r>
    </w:p>
    <w:p>
      <w:pPr>
        <w:pStyle w:val="10"/>
        <w:spacing w:beforeLines="25" w:afterLines="25"/>
        <w:ind w:firstLine="392" w:firstLineChars="187"/>
        <w:rPr>
          <w:rFonts w:ascii="宋体" w:hAnsi="宋体"/>
          <w:color w:val="000000"/>
          <w:szCs w:val="21"/>
        </w:rPr>
      </w:pPr>
      <w:r>
        <w:rPr>
          <w:rFonts w:hint="eastAsia" w:ascii="宋体" w:hAnsi="宋体"/>
          <w:color w:val="000000"/>
          <w:szCs w:val="21"/>
        </w:rPr>
        <w:t>3、对采购文件中描述有歧义或前后不一致的地方，评审委员会有权进行评判，但对同一条款的评判应适用于每个供应商。</w:t>
      </w:r>
    </w:p>
    <w:p>
      <w:pPr>
        <w:pStyle w:val="10"/>
        <w:spacing w:beforeLines="25" w:afterLines="25"/>
        <w:ind w:firstLine="392" w:firstLineChars="187"/>
        <w:rPr>
          <w:rFonts w:ascii="宋体" w:hAnsi="宋体"/>
          <w:color w:val="000000"/>
          <w:szCs w:val="21"/>
        </w:rPr>
      </w:pPr>
      <w:r>
        <w:rPr>
          <w:rFonts w:hint="eastAsia" w:ascii="宋体" w:hAnsi="宋体"/>
          <w:color w:val="000000"/>
          <w:szCs w:val="21"/>
        </w:rPr>
        <w:t>4、如供应商提交伪造资质证书、合同文件，一经发现取消本次应答资格，并按法律、法规（采购文件的法律法规均包括规章和规范性文件）规定进行处罚。</w:t>
      </w:r>
    </w:p>
    <w:p>
      <w:pPr>
        <w:pStyle w:val="10"/>
        <w:spacing w:beforeLines="25" w:afterLines="25"/>
        <w:ind w:firstLine="392" w:firstLineChars="187"/>
        <w:rPr>
          <w:rFonts w:ascii="宋体" w:hAnsi="宋体"/>
          <w:color w:val="000000"/>
          <w:szCs w:val="21"/>
        </w:rPr>
      </w:pPr>
      <w:r>
        <w:rPr>
          <w:rFonts w:hint="eastAsia" w:ascii="宋体" w:hAnsi="宋体"/>
          <w:color w:val="000000"/>
          <w:szCs w:val="21"/>
        </w:rPr>
        <w:t>5、供应商违反采购文件规定及在应答过程中违法违纪，或以任何形式采取不正当竞争手段的，一经查实，由政府采购主管部门按规定给予处罚，取消本次应答资格，已经成交的终止委托管理合同，一切后果由责任者自负。</w:t>
      </w:r>
    </w:p>
    <w:p>
      <w:pPr>
        <w:pStyle w:val="10"/>
        <w:spacing w:beforeLines="25" w:afterLines="25"/>
        <w:ind w:firstLine="392" w:firstLineChars="187"/>
        <w:rPr>
          <w:rFonts w:ascii="宋体" w:hAnsi="宋体"/>
          <w:color w:val="000000"/>
          <w:szCs w:val="21"/>
        </w:rPr>
      </w:pPr>
      <w:r>
        <w:rPr>
          <w:rFonts w:hint="eastAsia" w:ascii="宋体" w:hAnsi="宋体"/>
          <w:color w:val="000000"/>
          <w:szCs w:val="21"/>
        </w:rPr>
        <w:t>6、关于供应商家数的计算，根据《政府采购货物和服务招标投标管理办法》（财政部令第87号）第三十一条的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0"/>
        <w:spacing w:beforeLines="25" w:afterLines="25"/>
        <w:ind w:firstLine="392" w:firstLineChars="187"/>
        <w:rPr>
          <w:szCs w:val="21"/>
        </w:rPr>
      </w:pPr>
      <w:r>
        <w:rPr>
          <w:rFonts w:hint="eastAsia"/>
          <w:szCs w:val="21"/>
        </w:rPr>
        <w:t>7、供应商主张自身知识产权受到侵害，因此对成交供应商提出质疑的，须提供自身知识产权确系受到侵犯的相关证明文件（如该知识产权的授予机关出具的证明、法院判决或仲裁裁定等），否则，我中心对因知识产权争议提出的质疑将不予受理。</w:t>
      </w:r>
    </w:p>
    <w:p>
      <w:pPr>
        <w:pStyle w:val="10"/>
        <w:spacing w:beforeLines="25" w:afterLines="25"/>
        <w:ind w:firstLine="392" w:firstLineChars="187"/>
        <w:rPr>
          <w:rFonts w:ascii="宋体" w:hAnsi="宋体"/>
          <w:szCs w:val="21"/>
        </w:rPr>
      </w:pPr>
      <w:r>
        <w:rPr>
          <w:rFonts w:ascii="宋体" w:hAnsi="宋体"/>
          <w:szCs w:val="21"/>
        </w:rPr>
        <w:t>8</w:t>
      </w:r>
      <w:r>
        <w:rPr>
          <w:rFonts w:hint="eastAsia" w:ascii="宋体" w:hAnsi="宋体"/>
          <w:szCs w:val="21"/>
        </w:rPr>
        <w:t>、评审委员会在开标过程中如发现供应商上传应答文件的IP地址一致涉嫌串通围标，应及时向财政部门报告。经查实属于串标围标行为的，参照采购条例第五十七条有关规定处理。</w:t>
      </w:r>
    </w:p>
    <w:p>
      <w:pPr>
        <w:ind w:firstLine="420" w:firstLineChars="200"/>
        <w:jc w:val="left"/>
        <w:rPr>
          <w:rFonts w:ascii="Arial" w:hAnsi="Arial" w:cs="Verdana"/>
          <w:b/>
          <w:kern w:val="0"/>
          <w:sz w:val="24"/>
          <w:szCs w:val="20"/>
        </w:rPr>
      </w:pPr>
      <w:r>
        <w:rPr>
          <w:rFonts w:hint="eastAsia" w:ascii="宋体" w:hAnsi="宋体"/>
          <w:szCs w:val="21"/>
        </w:rPr>
        <w:t>9、成交供应商不得将项目非法分包或转包给任何单位和个人。否则，使用单位有权即刻终止合同，并要求成交人赔偿相应损失。</w:t>
      </w:r>
      <w:r>
        <w:rPr>
          <w:rFonts w:hint="eastAsia" w:ascii="宋体" w:hAnsi="宋体" w:cs="宋体"/>
          <w:kern w:val="0"/>
          <w:sz w:val="20"/>
          <w:szCs w:val="20"/>
        </w:rPr>
        <w:br w:type="textWrapping"/>
      </w:r>
      <w:r>
        <w:rPr>
          <w:szCs w:val="21"/>
        </w:rPr>
        <w:t xml:space="preserve">    10</w:t>
      </w:r>
      <w:r>
        <w:rPr>
          <w:rFonts w:hint="eastAsia"/>
          <w:szCs w:val="21"/>
        </w:rPr>
        <w:t>、供应商如有串通投标行为，参照《深圳经济特区政府采购条例》及其实施细则认定及处罚。</w:t>
      </w:r>
      <w:r>
        <w:rPr>
          <w:rFonts w:hint="eastAsia"/>
          <w:szCs w:val="21"/>
        </w:rPr>
        <w:br w:type="textWrapping"/>
      </w:r>
      <w:bookmarkStart w:id="10" w:name="_Toc194467283"/>
    </w:p>
    <w:p>
      <w:pPr>
        <w:rPr>
          <w:rFonts w:ascii="Arial" w:hAnsi="Arial" w:cs="Verdana"/>
          <w:b/>
          <w:kern w:val="0"/>
          <w:sz w:val="24"/>
          <w:szCs w:val="20"/>
        </w:rPr>
      </w:pPr>
    </w:p>
    <w:p>
      <w:pPr>
        <w:pStyle w:val="4"/>
        <w:rPr>
          <w:sz w:val="24"/>
        </w:rPr>
      </w:pPr>
      <w:r>
        <w:rPr>
          <w:rFonts w:hint="eastAsia"/>
        </w:rPr>
        <w:t>第二册格式及附件</w:t>
      </w:r>
      <w:bookmarkEnd w:id="10"/>
    </w:p>
    <w:p>
      <w:pPr>
        <w:pStyle w:val="7"/>
      </w:pPr>
      <w:bookmarkStart w:id="11" w:name="_Toc194467284"/>
      <w:r>
        <w:rPr>
          <w:rFonts w:hint="eastAsia"/>
          <w:kern w:val="2"/>
        </w:rPr>
        <w:t xml:space="preserve">第一章 </w:t>
      </w:r>
      <w:r>
        <w:rPr>
          <w:kern w:val="2"/>
        </w:rPr>
        <w:t xml:space="preserve"> </w:t>
      </w:r>
      <w:r>
        <w:rPr>
          <w:rFonts w:hint="eastAsia"/>
        </w:rPr>
        <w:t>合同格式</w:t>
      </w:r>
      <w:bookmarkEnd w:id="11"/>
    </w:p>
    <w:p>
      <w:pPr>
        <w:spacing w:afterLines="50"/>
        <w:ind w:firstLine="422" w:firstLineChars="200"/>
        <w:jc w:val="center"/>
        <w:rPr>
          <w:b/>
          <w:szCs w:val="21"/>
        </w:rPr>
      </w:pPr>
      <w:r>
        <w:rPr>
          <w:rFonts w:hint="eastAsia"/>
          <w:b/>
          <w:szCs w:val="21"/>
        </w:rPr>
        <w:t>详询采购单位。</w:t>
      </w:r>
    </w:p>
    <w:p/>
    <w:p>
      <w:pPr>
        <w:pStyle w:val="7"/>
        <w:rPr>
          <w:kern w:val="2"/>
        </w:rPr>
      </w:pPr>
      <w:bookmarkStart w:id="12" w:name="bt投标书"/>
      <w:bookmarkEnd w:id="12"/>
      <w:bookmarkStart w:id="13" w:name="bt附件"/>
      <w:bookmarkEnd w:id="13"/>
      <w:bookmarkStart w:id="14" w:name="_Toc194467285"/>
      <w:r>
        <w:rPr>
          <w:rFonts w:hint="eastAsia"/>
          <w:kern w:val="2"/>
        </w:rPr>
        <w:t>第二章  应答文件的格式</w:t>
      </w:r>
      <w:bookmarkEnd w:id="14"/>
    </w:p>
    <w:p>
      <w:pPr>
        <w:rPr>
          <w:rFonts w:ascii="黑体" w:eastAsia="黑体"/>
          <w:b/>
          <w:color w:val="FF0000"/>
          <w:kern w:val="0"/>
          <w:sz w:val="24"/>
        </w:rPr>
      </w:pPr>
      <w:r>
        <w:rPr>
          <w:rStyle w:val="54"/>
          <w:rFonts w:hint="eastAsia" w:eastAsia="宋体"/>
          <w:lang w:eastAsia="zh-CN"/>
        </w:rPr>
        <w:t>特别提醒：</w:t>
      </w:r>
      <w:r>
        <w:rPr>
          <w:rFonts w:hint="eastAsia" w:ascii="黑体" w:eastAsia="黑体"/>
          <w:b/>
          <w:kern w:val="0"/>
          <w:sz w:val="24"/>
        </w:rPr>
        <w:t>第二部分应答文件附件扫描成.pdf上传至“报名附件”；第一部分应答文件正文扫描成.pdf上传至“报名方案”。（详见第三册供应商须知第二章应答文件6．应答文件的书写要求）。</w:t>
      </w:r>
      <w:r>
        <w:rPr>
          <w:rFonts w:hint="eastAsia" w:ascii="黑体" w:eastAsia="黑体"/>
          <w:b/>
          <w:color w:val="FF0000"/>
          <w:kern w:val="0"/>
          <w:sz w:val="24"/>
        </w:rPr>
        <w:t>如未按要求上传，则视为无效响应。</w:t>
      </w:r>
    </w:p>
    <w:p>
      <w:pPr>
        <w:pStyle w:val="5"/>
        <w:jc w:val="center"/>
        <w:rPr>
          <w:rFonts w:ascii="黑体" w:eastAsia="黑体"/>
          <w:b w:val="0"/>
          <w:kern w:val="0"/>
          <w:sz w:val="24"/>
        </w:rPr>
      </w:pPr>
      <w:r>
        <w:rPr>
          <w:rFonts w:hint="eastAsia" w:ascii="黑体" w:eastAsia="黑体"/>
          <w:b w:val="0"/>
          <w:kern w:val="0"/>
          <w:sz w:val="24"/>
        </w:rPr>
        <w:t>第一部分 应答文件正文</w:t>
      </w:r>
    </w:p>
    <w:p>
      <w:pPr>
        <w:pStyle w:val="5"/>
        <w:jc w:val="center"/>
        <w:rPr>
          <w:rFonts w:ascii="黑体" w:eastAsia="黑体"/>
          <w:b w:val="0"/>
          <w:kern w:val="0"/>
          <w:sz w:val="24"/>
        </w:rPr>
      </w:pPr>
      <w:r>
        <w:rPr>
          <w:rFonts w:hint="eastAsia" w:ascii="黑体" w:eastAsia="黑体"/>
          <w:b w:val="0"/>
          <w:kern w:val="0"/>
          <w:sz w:val="24"/>
        </w:rPr>
        <w:t>一、应答承诺书</w:t>
      </w: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深圳市罗湖区政府物料供应中心</w:t>
      </w:r>
    </w:p>
    <w:p>
      <w:pPr>
        <w:spacing w:afterLines="50"/>
        <w:ind w:firstLine="420" w:firstLineChars="200"/>
        <w:rPr>
          <w:szCs w:val="21"/>
        </w:rPr>
      </w:pPr>
      <w:r>
        <w:rPr>
          <w:rFonts w:hint="eastAsia"/>
          <w:szCs w:val="21"/>
        </w:rPr>
        <w:t>1、根据已收到贵方的项目编号为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采购文件，遵照有关规定，我单位经考察现场和研究上述采购文件的应答须知、合同条款、技术规范、图纸、澄清公告、答疑公告及所有相关文件后，我方完全认可贵方提供的上述文件，并愿以分项报价清单要求承包上述项目并修补其任何缺陷。</w:t>
      </w:r>
    </w:p>
    <w:p>
      <w:pPr>
        <w:spacing w:afterLines="50"/>
        <w:ind w:firstLine="411" w:firstLineChars="196"/>
        <w:rPr>
          <w:rFonts w:ascii="宋体" w:hAnsi="宋体"/>
          <w:szCs w:val="21"/>
        </w:rPr>
      </w:pPr>
      <w:r>
        <w:rPr>
          <w:rFonts w:hint="eastAsia" w:ascii="宋体" w:hAnsi="宋体"/>
          <w:szCs w:val="21"/>
        </w:rPr>
        <w:t>2、我方同意所递交的应答文件在规定的应答有效期内有效，在此期间内我方的应答有可能成交，我方将受此约束。</w:t>
      </w:r>
    </w:p>
    <w:p>
      <w:pPr>
        <w:spacing w:afterLines="50"/>
        <w:ind w:firstLine="411" w:firstLineChars="196"/>
        <w:rPr>
          <w:rFonts w:ascii="宋体" w:hAnsi="宋体"/>
          <w:szCs w:val="21"/>
        </w:rPr>
      </w:pPr>
      <w:r>
        <w:rPr>
          <w:rFonts w:hint="eastAsia" w:ascii="宋体" w:hAnsi="宋体"/>
          <w:szCs w:val="21"/>
        </w:rPr>
        <w:t>3、除非另外达成协议并生效，贵方的成交通知书和本应答文件将构成约束我们双方的合同。</w:t>
      </w:r>
    </w:p>
    <w:p>
      <w:pPr>
        <w:spacing w:afterLines="50"/>
        <w:ind w:firstLine="411" w:firstLineChars="196"/>
        <w:rPr>
          <w:rFonts w:ascii="宋体" w:hAnsi="宋体"/>
          <w:szCs w:val="21"/>
        </w:rPr>
      </w:pPr>
      <w:r>
        <w:rPr>
          <w:rFonts w:hint="eastAsia" w:ascii="宋体" w:hAnsi="宋体"/>
          <w:szCs w:val="21"/>
        </w:rPr>
        <w:t>4、我方理解贵方将不受必须接受所收到的最低标价或其它任何应答文件的约束。</w:t>
      </w:r>
    </w:p>
    <w:p>
      <w:pPr>
        <w:spacing w:afterLines="50"/>
        <w:ind w:firstLine="411" w:firstLineChars="196"/>
      </w:pPr>
      <w:r>
        <w:rPr>
          <w:rFonts w:ascii="宋体" w:hAnsi="宋体"/>
          <w:szCs w:val="21"/>
        </w:rPr>
        <w:t>5</w:t>
      </w:r>
      <w:r>
        <w:rPr>
          <w:rFonts w:hint="eastAsia" w:ascii="宋体" w:hAnsi="宋体"/>
          <w:szCs w:val="21"/>
        </w:rPr>
        <w:t>、</w:t>
      </w:r>
      <w:r>
        <w:rPr>
          <w:rFonts w:hint="eastAsia"/>
        </w:rPr>
        <w:t>我方保证，所提供的货物在提供给使用单位前具有完全的所有权，贵中心及使用单位在中华人民共和国使用该货物或货物的任何一部分时，免受第三方提出的包括但不限于侵犯其专利权、商标权、服务标志和工业设计权等知识产权和抵押权在内的担保物权的索赔或起诉，如有此类问题，我方将承担所有的责任与经济损失。</w:t>
      </w:r>
    </w:p>
    <w:p>
      <w:pPr>
        <w:spacing w:afterLines="50"/>
        <w:ind w:firstLine="411" w:firstLineChars="196"/>
        <w:rPr>
          <w:rFonts w:ascii="宋体" w:hAnsi="宋体"/>
        </w:rPr>
      </w:pPr>
      <w:r>
        <w:rPr>
          <w:rFonts w:hint="eastAsia" w:ascii="宋体" w:hAnsi="宋体"/>
        </w:rPr>
        <w:t>6、我方保证，具备《中华人民共和国政府采购法》第二十二条第一款的条件以及不违反《中华人民共和国政府采购法实施条例》第十八条的规定。</w:t>
      </w:r>
    </w:p>
    <w:p>
      <w:pPr>
        <w:spacing w:afterLines="50"/>
        <w:ind w:firstLine="411" w:firstLineChars="196"/>
        <w:rPr>
          <w:rFonts w:ascii="宋体" w:hAnsi="宋体"/>
        </w:rPr>
      </w:pPr>
      <w:r>
        <w:rPr>
          <w:rFonts w:ascii="宋体" w:hAnsi="宋体"/>
        </w:rPr>
        <w:t>7</w:t>
      </w:r>
      <w:r>
        <w:rPr>
          <w:rFonts w:hint="eastAsia" w:ascii="宋体" w:hAnsi="宋体"/>
        </w:rPr>
        <w:t>、我方保证，参与本项目投标前三年内，在经营活动中没有重大违法记录；参与本项目政府采购活动时不存在被有关部门禁止参与政府采购活动且在有效期内的情况；并且没有在招投标活动中因违反政府采购有关法律法规被暂停投标资格期间或涉嫌违反政府采购有关法律法规并正在接受主管部门调查的情况。</w:t>
      </w:r>
    </w:p>
    <w:p>
      <w:pPr>
        <w:spacing w:afterLines="50"/>
        <w:ind w:firstLine="411" w:firstLineChars="196"/>
        <w:rPr>
          <w:rFonts w:ascii="宋体" w:hAnsi="宋体"/>
        </w:rPr>
      </w:pPr>
      <w:r>
        <w:rPr>
          <w:rFonts w:ascii="宋体" w:hAnsi="宋体"/>
        </w:rPr>
        <w:t>8</w:t>
      </w:r>
      <w:r>
        <w:rPr>
          <w:rFonts w:hint="eastAsia" w:ascii="宋体" w:hAnsi="宋体"/>
        </w:rPr>
        <w:t>、我方保证，至采购公告发布之日止，不存在被列入失信被执行人、重大税收违法案件当事人名单、政府采购严重违法失信行为记录名单及其他不符合《中华人民共和国政府采购法》第二十二条规定条件的情况。</w:t>
      </w:r>
    </w:p>
    <w:p>
      <w:pPr>
        <w:spacing w:afterLines="50"/>
        <w:ind w:firstLine="411" w:firstLineChars="196"/>
        <w:rPr>
          <w:rFonts w:ascii="宋体" w:hAnsi="宋体"/>
        </w:rPr>
      </w:pPr>
      <w:r>
        <w:rPr>
          <w:rFonts w:ascii="宋体" w:hAnsi="宋体"/>
        </w:rPr>
        <w:t>9</w:t>
      </w:r>
      <w:r>
        <w:rPr>
          <w:rFonts w:hint="eastAsia" w:ascii="宋体" w:hAnsi="宋体"/>
        </w:rPr>
        <w:t>、一旦我方成交，我方承诺在收到成交通知书后,积极联系使用单位，在10个工作日内与使用单位签订</w:t>
      </w:r>
      <w:r>
        <w:rPr>
          <w:rFonts w:hint="eastAsia" w:ascii="宋体" w:hAnsi="宋体"/>
          <w:szCs w:val="21"/>
        </w:rPr>
        <w:t>供货</w:t>
      </w:r>
      <w:r>
        <w:rPr>
          <w:rFonts w:hint="eastAsia" w:ascii="宋体" w:hAnsi="宋体"/>
        </w:rPr>
        <w:t>合同，除非因使用单位原因造成时间延误，否则，贵方有权废除我方的成交资格，并拉入黑名单，我方对此无任何异议，并承担相关责任。</w:t>
      </w:r>
    </w:p>
    <w:p>
      <w:pPr>
        <w:spacing w:afterLines="50"/>
        <w:ind w:firstLine="411" w:firstLineChars="196"/>
        <w:rPr>
          <w:rFonts w:ascii="宋体" w:hAnsi="宋体"/>
        </w:rPr>
      </w:pPr>
      <w:r>
        <w:rPr>
          <w:rFonts w:ascii="宋体" w:hAnsi="宋体"/>
        </w:rPr>
        <w:t>10</w:t>
      </w:r>
      <w:r>
        <w:rPr>
          <w:rFonts w:hint="eastAsia" w:ascii="宋体" w:hAnsi="宋体"/>
        </w:rPr>
        <w:t>、在本项目应答过程中，不弄虚作假，不隐瞒真实情况，不围标串标，不恶意质疑投诉。我方已清楚，如违反上述要求，贵方有权废除我方的应答资格。</w:t>
      </w:r>
    </w:p>
    <w:p>
      <w:pPr>
        <w:spacing w:afterLines="50"/>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我方已认真核实了应答文件的全部资料，所有资料均为真实资料。我方对应答文件中全部投标资料的真实性负责，如被证实我单位的应答文件中存在虚假资料的，则视为我单位隐瞒真实情况、提供虚假资料，我单位愿意接受主管部门作出的行政处罚。</w:t>
      </w:r>
    </w:p>
    <w:p>
      <w:pPr>
        <w:spacing w:afterLines="50"/>
        <w:ind w:firstLine="411" w:firstLineChars="196"/>
        <w:rPr>
          <w:rFonts w:ascii="宋体" w:hAnsi="宋体"/>
          <w:color w:val="FF0000"/>
          <w:szCs w:val="21"/>
        </w:rPr>
      </w:pPr>
    </w:p>
    <w:p>
      <w:pPr>
        <w:ind w:left="540" w:leftChars="257"/>
        <w:rPr>
          <w:szCs w:val="21"/>
          <w:u w:val="single"/>
        </w:rPr>
      </w:pPr>
      <w:r>
        <w:rPr>
          <w:rFonts w:hint="eastAsia"/>
          <w:szCs w:val="21"/>
        </w:rPr>
        <w:t>供应商：</w:t>
      </w:r>
      <w:r>
        <w:rPr>
          <w:szCs w:val="21"/>
        </w:rPr>
        <w:t xml:space="preserve">_____________ </w:t>
      </w:r>
    </w:p>
    <w:p>
      <w:pPr>
        <w:ind w:left="540" w:leftChars="257"/>
        <w:rPr>
          <w:szCs w:val="21"/>
          <w:u w:val="single"/>
        </w:rPr>
      </w:pPr>
      <w:r>
        <w:rPr>
          <w:rFonts w:hint="eastAsia"/>
          <w:szCs w:val="21"/>
        </w:rPr>
        <w:t>法定代表人或其委托代理人：</w:t>
      </w:r>
      <w:r>
        <w:rPr>
          <w:szCs w:val="21"/>
        </w:rPr>
        <w:t>______________</w:t>
      </w:r>
    </w:p>
    <w:p>
      <w:pPr>
        <w:ind w:left="540" w:leftChars="257"/>
        <w:rPr>
          <w:szCs w:val="21"/>
        </w:rPr>
      </w:pPr>
      <w:r>
        <w:rPr>
          <w:rFonts w:hint="eastAsia"/>
          <w:szCs w:val="21"/>
        </w:rPr>
        <w:t>联系人/电话：</w:t>
      </w:r>
      <w:r>
        <w:rPr>
          <w:szCs w:val="21"/>
          <w:u w:val="single"/>
        </w:rPr>
        <w:t xml:space="preserve">            </w:t>
      </w:r>
    </w:p>
    <w:p>
      <w:pPr>
        <w:ind w:left="540" w:leftChars="257"/>
        <w:rPr>
          <w:szCs w:val="21"/>
          <w:u w:val="single"/>
        </w:rPr>
      </w:pPr>
    </w:p>
    <w:p>
      <w:pPr>
        <w:ind w:left="257"/>
        <w:jc w:val="right"/>
        <w:rPr>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480" w:lineRule="exact"/>
        <w:rPr>
          <w:rFonts w:ascii="宋体" w:hAnsi="宋体"/>
          <w:b/>
          <w:color w:val="FF0000"/>
          <w:szCs w:val="21"/>
        </w:rPr>
      </w:pPr>
    </w:p>
    <w:p>
      <w:pPr>
        <w:spacing w:line="480" w:lineRule="exact"/>
        <w:rPr>
          <w:rFonts w:ascii="宋体" w:hAnsi="宋体"/>
          <w:b/>
          <w:szCs w:val="21"/>
        </w:rPr>
      </w:pPr>
      <w:r>
        <w:rPr>
          <w:rFonts w:hint="eastAsia" w:ascii="宋体" w:hAnsi="宋体"/>
          <w:b/>
          <w:szCs w:val="21"/>
        </w:rPr>
        <w:t xml:space="preserve">   注:本承诺书要求供应商提供盖章后的扫描文件；</w:t>
      </w:r>
    </w:p>
    <w:p>
      <w:pPr>
        <w:spacing w:line="480" w:lineRule="exact"/>
        <w:rPr>
          <w:rFonts w:ascii="宋体" w:hAnsi="宋体"/>
          <w:b/>
          <w:color w:val="FF0000"/>
          <w:szCs w:val="21"/>
        </w:rPr>
      </w:pPr>
    </w:p>
    <w:p>
      <w:pPr>
        <w:pStyle w:val="5"/>
        <w:jc w:val="center"/>
        <w:rPr>
          <w:rFonts w:ascii="Arial" w:hAnsi="Arial"/>
          <w:b w:val="0"/>
          <w:bCs/>
          <w:sz w:val="24"/>
          <w:szCs w:val="24"/>
        </w:rPr>
      </w:pPr>
      <w:r>
        <w:rPr>
          <w:rFonts w:hint="eastAsia" w:ascii="黑体" w:eastAsia="黑体"/>
          <w:b w:val="0"/>
          <w:sz w:val="24"/>
          <w:szCs w:val="24"/>
        </w:rPr>
        <w:t>二、供应商情况介绍</w:t>
      </w:r>
    </w:p>
    <w:p>
      <w:pPr>
        <w:pStyle w:val="6"/>
        <w:jc w:val="center"/>
        <w:rPr>
          <w:b w:val="0"/>
          <w:bCs w:val="0"/>
          <w:sz w:val="24"/>
          <w:szCs w:val="24"/>
        </w:rPr>
      </w:pPr>
      <w:r>
        <w:rPr>
          <w:rFonts w:hint="eastAsia"/>
          <w:b w:val="0"/>
          <w:bCs w:val="0"/>
          <w:sz w:val="24"/>
          <w:szCs w:val="24"/>
        </w:rPr>
        <w:t>（一）供应商基本情况一览表</w:t>
      </w:r>
    </w:p>
    <w:tbl>
      <w:tblPr>
        <w:tblStyle w:val="41"/>
        <w:tblW w:w="839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449"/>
        <w:gridCol w:w="1662"/>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8" w:hRule="atLeast"/>
        </w:trPr>
        <w:tc>
          <w:tcPr>
            <w:tcW w:w="1701" w:type="dxa"/>
            <w:vAlign w:val="center"/>
          </w:tcPr>
          <w:p>
            <w:pPr>
              <w:pStyle w:val="10"/>
              <w:overflowPunct w:val="0"/>
              <w:ind w:firstLine="0"/>
              <w:rPr>
                <w:rFonts w:ascii="宋体"/>
                <w:szCs w:val="21"/>
              </w:rPr>
            </w:pPr>
            <w:r>
              <w:rPr>
                <w:b/>
                <w:bCs/>
                <w:sz w:val="24"/>
              </w:rPr>
              <w:br w:type="page"/>
            </w:r>
            <w:r>
              <w:rPr>
                <w:rFonts w:hint="eastAsia" w:ascii="宋体" w:hAnsi="宋体"/>
                <w:szCs w:val="21"/>
              </w:rPr>
              <w:t>法定代表人</w:t>
            </w:r>
          </w:p>
        </w:tc>
        <w:tc>
          <w:tcPr>
            <w:tcW w:w="2449" w:type="dxa"/>
            <w:vAlign w:val="center"/>
          </w:tcPr>
          <w:p>
            <w:pPr>
              <w:pStyle w:val="10"/>
              <w:overflowPunct w:val="0"/>
              <w:ind w:firstLine="360"/>
              <w:rPr>
                <w:rFonts w:ascii="宋体"/>
                <w:szCs w:val="21"/>
              </w:rPr>
            </w:pPr>
          </w:p>
        </w:tc>
        <w:tc>
          <w:tcPr>
            <w:tcW w:w="1662" w:type="dxa"/>
            <w:vAlign w:val="center"/>
          </w:tcPr>
          <w:p>
            <w:pPr>
              <w:pStyle w:val="10"/>
              <w:overflowPunct w:val="0"/>
              <w:ind w:firstLine="0"/>
              <w:jc w:val="center"/>
              <w:rPr>
                <w:rFonts w:ascii="宋体"/>
                <w:szCs w:val="21"/>
              </w:rPr>
            </w:pPr>
            <w:r>
              <w:rPr>
                <w:rFonts w:hint="eastAsia" w:ascii="宋体" w:hAnsi="宋体"/>
                <w:szCs w:val="21"/>
              </w:rPr>
              <w:t>成立日期</w:t>
            </w:r>
          </w:p>
        </w:tc>
        <w:tc>
          <w:tcPr>
            <w:tcW w:w="2583" w:type="dxa"/>
            <w:vAlign w:val="center"/>
          </w:tcPr>
          <w:p>
            <w:pPr>
              <w:pStyle w:val="10"/>
              <w:overflowPunct w:val="0"/>
              <w:ind w:firstLine="360"/>
              <w:rPr>
                <w:rFonts w:ascii="宋体"/>
                <w:szCs w:val="21"/>
              </w:rPr>
            </w:pPr>
            <w:r>
              <w:rPr>
                <w:rFonts w:hint="eastAsia" w:ascii="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3" w:hRule="atLeast"/>
        </w:trPr>
        <w:tc>
          <w:tcPr>
            <w:tcW w:w="1701" w:type="dxa"/>
            <w:vAlign w:val="center"/>
          </w:tcPr>
          <w:p>
            <w:pPr>
              <w:pStyle w:val="10"/>
              <w:overflowPunct w:val="0"/>
              <w:ind w:firstLine="0"/>
              <w:rPr>
                <w:rFonts w:ascii="宋体"/>
                <w:szCs w:val="21"/>
              </w:rPr>
            </w:pPr>
            <w:r>
              <w:rPr>
                <w:rFonts w:hint="eastAsia" w:ascii="宋体" w:hAnsi="宋体"/>
                <w:szCs w:val="21"/>
              </w:rPr>
              <w:t>注册地址</w:t>
            </w:r>
          </w:p>
        </w:tc>
        <w:tc>
          <w:tcPr>
            <w:tcW w:w="6694" w:type="dxa"/>
            <w:gridSpan w:val="3"/>
            <w:vAlign w:val="center"/>
          </w:tcPr>
          <w:p>
            <w:pPr>
              <w:pStyle w:val="10"/>
              <w:overflowPunct w:val="0"/>
              <w:ind w:firstLine="36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8" w:hRule="atLeast"/>
        </w:trPr>
        <w:tc>
          <w:tcPr>
            <w:tcW w:w="1701" w:type="dxa"/>
            <w:vAlign w:val="center"/>
          </w:tcPr>
          <w:p>
            <w:pPr>
              <w:pStyle w:val="10"/>
              <w:overflowPunct w:val="0"/>
              <w:ind w:firstLine="0"/>
              <w:rPr>
                <w:rFonts w:ascii="宋体"/>
                <w:szCs w:val="21"/>
              </w:rPr>
            </w:pPr>
            <w:r>
              <w:rPr>
                <w:rFonts w:hint="eastAsia" w:ascii="宋体" w:hAnsi="宋体"/>
                <w:szCs w:val="21"/>
              </w:rPr>
              <w:t>实际办公地址</w:t>
            </w:r>
          </w:p>
        </w:tc>
        <w:tc>
          <w:tcPr>
            <w:tcW w:w="6694" w:type="dxa"/>
            <w:gridSpan w:val="3"/>
            <w:vAlign w:val="center"/>
          </w:tcPr>
          <w:p>
            <w:pPr>
              <w:pStyle w:val="10"/>
              <w:overflowPunct w:val="0"/>
              <w:ind w:firstLine="36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8" w:hRule="atLeast"/>
        </w:trPr>
        <w:tc>
          <w:tcPr>
            <w:tcW w:w="1701" w:type="dxa"/>
            <w:vAlign w:val="center"/>
          </w:tcPr>
          <w:p>
            <w:pPr>
              <w:pStyle w:val="10"/>
              <w:overflowPunct w:val="0"/>
              <w:ind w:firstLine="0"/>
              <w:rPr>
                <w:rFonts w:ascii="宋体" w:hAnsi="宋体"/>
                <w:szCs w:val="21"/>
              </w:rPr>
            </w:pPr>
            <w:r>
              <w:rPr>
                <w:rFonts w:hint="eastAsia" w:ascii="宋体" w:hAnsi="宋体"/>
                <w:szCs w:val="21"/>
              </w:rPr>
              <w:t>联系方式</w:t>
            </w:r>
          </w:p>
        </w:tc>
        <w:tc>
          <w:tcPr>
            <w:tcW w:w="6694" w:type="dxa"/>
            <w:gridSpan w:val="3"/>
            <w:vAlign w:val="center"/>
          </w:tcPr>
          <w:p>
            <w:pPr>
              <w:pStyle w:val="10"/>
              <w:overflowPunct w:val="0"/>
              <w:ind w:firstLine="360"/>
              <w:rPr>
                <w:rFonts w:ascii="宋体"/>
                <w:szCs w:val="21"/>
              </w:rPr>
            </w:pPr>
          </w:p>
        </w:tc>
      </w:tr>
    </w:tbl>
    <w:p>
      <w:pPr>
        <w:rPr>
          <w:szCs w:val="21"/>
        </w:rPr>
      </w:pPr>
      <w:r>
        <w:rPr>
          <w:rFonts w:hint="eastAsia"/>
          <w:szCs w:val="21"/>
        </w:rPr>
        <w:t xml:space="preserve">供应商：                                                      </w:t>
      </w:r>
    </w:p>
    <w:p>
      <w:pPr>
        <w:rPr>
          <w:szCs w:val="21"/>
        </w:rPr>
      </w:pPr>
      <w:r>
        <w:rPr>
          <w:rFonts w:hint="eastAsia"/>
          <w:szCs w:val="21"/>
        </w:rPr>
        <w:t>日期：    年   月   日</w:t>
      </w:r>
    </w:p>
    <w:p>
      <w:pPr>
        <w:rPr>
          <w:rFonts w:ascii="宋体" w:hAnsi="宋体"/>
          <w:szCs w:val="21"/>
        </w:rPr>
      </w:pPr>
      <w:r>
        <w:rPr>
          <w:rFonts w:hint="eastAsia" w:ascii="宋体" w:hAnsi="宋体"/>
          <w:szCs w:val="21"/>
        </w:rPr>
        <w:t>注：按要求填写好此表格后，应答供应商可以用其它的方式，就公司整体情况做出详细的介绍。</w:t>
      </w:r>
    </w:p>
    <w:p>
      <w:pPr>
        <w:ind w:firstLine="482" w:firstLineChars="200"/>
        <w:rPr>
          <w:b/>
          <w:bCs/>
          <w:sz w:val="24"/>
        </w:rPr>
      </w:pPr>
    </w:p>
    <w:p>
      <w:pPr>
        <w:pStyle w:val="6"/>
        <w:jc w:val="center"/>
        <w:rPr>
          <w:b w:val="0"/>
          <w:bCs w:val="0"/>
          <w:sz w:val="24"/>
          <w:szCs w:val="24"/>
        </w:rPr>
      </w:pPr>
      <w:r>
        <w:rPr>
          <w:rFonts w:hint="eastAsia"/>
          <w:b w:val="0"/>
          <w:bCs w:val="0"/>
          <w:sz w:val="24"/>
          <w:szCs w:val="24"/>
        </w:rPr>
        <w:t>（二）近三年供应商业绩、已做项目简介</w:t>
      </w:r>
    </w:p>
    <w:tbl>
      <w:tblPr>
        <w:tblStyle w:val="41"/>
        <w:tblW w:w="872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236"/>
        <w:gridCol w:w="1726"/>
        <w:gridCol w:w="1160"/>
        <w:gridCol w:w="1080"/>
        <w:gridCol w:w="1260"/>
        <w:gridCol w:w="12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24" w:type="dxa"/>
            <w:gridSpan w:val="7"/>
          </w:tcPr>
          <w:p>
            <w:pPr>
              <w:jc w:val="center"/>
              <w:rPr>
                <w:szCs w:val="21"/>
              </w:rPr>
            </w:pPr>
            <w:r>
              <w:rPr>
                <w:rFonts w:hint="eastAsia"/>
                <w:szCs w:val="21"/>
              </w:rPr>
              <w:t>正在进行和已完成项目情况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vAlign w:val="center"/>
          </w:tcPr>
          <w:p>
            <w:pPr>
              <w:jc w:val="center"/>
              <w:rPr>
                <w:szCs w:val="21"/>
              </w:rPr>
            </w:pPr>
            <w:r>
              <w:rPr>
                <w:rFonts w:hint="eastAsia"/>
                <w:szCs w:val="21"/>
              </w:rPr>
              <w:t>使用单位</w:t>
            </w:r>
          </w:p>
        </w:tc>
        <w:tc>
          <w:tcPr>
            <w:tcW w:w="1236" w:type="dxa"/>
            <w:vAlign w:val="center"/>
          </w:tcPr>
          <w:p>
            <w:pPr>
              <w:jc w:val="center"/>
              <w:rPr>
                <w:szCs w:val="21"/>
              </w:rPr>
            </w:pPr>
            <w:r>
              <w:rPr>
                <w:rFonts w:hint="eastAsia"/>
                <w:szCs w:val="21"/>
              </w:rPr>
              <w:t>项目名称</w:t>
            </w:r>
          </w:p>
        </w:tc>
        <w:tc>
          <w:tcPr>
            <w:tcW w:w="1726" w:type="dxa"/>
            <w:vAlign w:val="center"/>
          </w:tcPr>
          <w:p>
            <w:pPr>
              <w:jc w:val="center"/>
              <w:rPr>
                <w:szCs w:val="21"/>
              </w:rPr>
            </w:pPr>
            <w:r>
              <w:rPr>
                <w:rFonts w:hint="eastAsia"/>
                <w:szCs w:val="21"/>
              </w:rPr>
              <w:t>货物名称型号</w:t>
            </w:r>
          </w:p>
        </w:tc>
        <w:tc>
          <w:tcPr>
            <w:tcW w:w="1160" w:type="dxa"/>
            <w:vAlign w:val="center"/>
          </w:tcPr>
          <w:p>
            <w:pPr>
              <w:jc w:val="center"/>
              <w:rPr>
                <w:szCs w:val="21"/>
              </w:rPr>
            </w:pPr>
            <w:r>
              <w:rPr>
                <w:rFonts w:hint="eastAsia"/>
                <w:szCs w:val="21"/>
              </w:rPr>
              <w:t>数量</w:t>
            </w:r>
          </w:p>
        </w:tc>
        <w:tc>
          <w:tcPr>
            <w:tcW w:w="1080" w:type="dxa"/>
            <w:vAlign w:val="center"/>
          </w:tcPr>
          <w:p>
            <w:pPr>
              <w:jc w:val="center"/>
              <w:rPr>
                <w:szCs w:val="21"/>
              </w:rPr>
            </w:pPr>
            <w:r>
              <w:rPr>
                <w:rFonts w:hint="eastAsia"/>
                <w:szCs w:val="21"/>
              </w:rPr>
              <w:t>合同金额</w:t>
            </w:r>
          </w:p>
        </w:tc>
        <w:tc>
          <w:tcPr>
            <w:tcW w:w="1260" w:type="dxa"/>
            <w:vAlign w:val="center"/>
          </w:tcPr>
          <w:p>
            <w:pPr>
              <w:jc w:val="center"/>
              <w:rPr>
                <w:szCs w:val="21"/>
              </w:rPr>
            </w:pPr>
            <w:r>
              <w:rPr>
                <w:rFonts w:hint="eastAsia"/>
                <w:szCs w:val="21"/>
              </w:rPr>
              <w:t>使用单位联系人</w:t>
            </w:r>
          </w:p>
        </w:tc>
        <w:tc>
          <w:tcPr>
            <w:tcW w:w="1236" w:type="dxa"/>
            <w:vAlign w:val="center"/>
          </w:tcPr>
          <w:p>
            <w:pPr>
              <w:jc w:val="center"/>
              <w:rPr>
                <w:szCs w:val="21"/>
              </w:rPr>
            </w:pPr>
            <w:r>
              <w:rPr>
                <w:rFonts w:hint="eastAsia"/>
                <w:szCs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tcPr>
          <w:p>
            <w:pPr>
              <w:rPr>
                <w:szCs w:val="21"/>
              </w:rPr>
            </w:pPr>
          </w:p>
        </w:tc>
        <w:tc>
          <w:tcPr>
            <w:tcW w:w="1236"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bl>
    <w:p>
      <w:pPr>
        <w:rPr>
          <w:szCs w:val="21"/>
        </w:rPr>
      </w:pPr>
    </w:p>
    <w:p>
      <w:pPr>
        <w:rPr>
          <w:szCs w:val="21"/>
        </w:rPr>
      </w:pPr>
      <w:r>
        <w:rPr>
          <w:rFonts w:hint="eastAsia"/>
          <w:szCs w:val="21"/>
        </w:rPr>
        <w:t>注：1、厂家直接应答可提供该产品的业绩。</w:t>
      </w:r>
    </w:p>
    <w:p>
      <w:pPr>
        <w:ind w:firstLine="420" w:firstLineChars="200"/>
        <w:rPr>
          <w:szCs w:val="21"/>
        </w:rPr>
      </w:pPr>
      <w:r>
        <w:rPr>
          <w:rFonts w:hint="eastAsia"/>
          <w:szCs w:val="21"/>
        </w:rPr>
        <w:t>2、如是代理商参与应答，应提供本公司所做项目业绩，如提供产品业绩无效，不计分。</w:t>
      </w:r>
    </w:p>
    <w:p>
      <w:pPr>
        <w:pStyle w:val="6"/>
        <w:jc w:val="center"/>
        <w:rPr>
          <w:b w:val="0"/>
          <w:bCs w:val="0"/>
          <w:sz w:val="24"/>
          <w:szCs w:val="24"/>
        </w:rPr>
      </w:pPr>
      <w:r>
        <w:rPr>
          <w:rFonts w:hint="eastAsia"/>
          <w:b w:val="0"/>
          <w:bCs w:val="0"/>
          <w:sz w:val="24"/>
          <w:szCs w:val="24"/>
        </w:rPr>
        <w:t>（三）采购文件要求加以说明的其他内容</w:t>
      </w:r>
    </w:p>
    <w:p>
      <w:pPr>
        <w:rPr>
          <w:szCs w:val="21"/>
        </w:rPr>
      </w:pPr>
      <w:r>
        <w:rPr>
          <w:rFonts w:hint="eastAsia"/>
          <w:szCs w:val="21"/>
        </w:rPr>
        <w:t>提供采购公告和评审信息中关于供应商的其他相关证明文件（如评审信息中涉及的各种证件（身份证除外）、设备发票、公益慈善、履约评价、检测报告、环保证明等，未涉及的可以不提供）</w:t>
      </w:r>
    </w:p>
    <w:p>
      <w:pPr>
        <w:ind w:firstLine="420" w:firstLineChars="200"/>
        <w:rPr>
          <w:szCs w:val="21"/>
        </w:rPr>
      </w:pPr>
    </w:p>
    <w:p>
      <w:pPr>
        <w:ind w:firstLine="420" w:firstLineChars="200"/>
        <w:rPr>
          <w:szCs w:val="21"/>
        </w:rPr>
      </w:pPr>
    </w:p>
    <w:p>
      <w:pPr>
        <w:pStyle w:val="5"/>
        <w:jc w:val="center"/>
        <w:rPr>
          <w:b w:val="0"/>
          <w:sz w:val="24"/>
          <w:szCs w:val="24"/>
        </w:rPr>
      </w:pPr>
      <w:r>
        <w:rPr>
          <w:rFonts w:hint="eastAsia" w:ascii="黑体" w:eastAsia="黑体"/>
          <w:b w:val="0"/>
          <w:sz w:val="24"/>
          <w:szCs w:val="24"/>
        </w:rPr>
        <w:t>三、货物说明一览表</w:t>
      </w:r>
    </w:p>
    <w:tbl>
      <w:tblPr>
        <w:tblStyle w:val="41"/>
        <w:tblW w:w="84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10"/>
        <w:gridCol w:w="1559"/>
        <w:gridCol w:w="1560"/>
        <w:gridCol w:w="1134"/>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szCs w:val="21"/>
              </w:rPr>
            </w:pPr>
            <w:r>
              <w:rPr>
                <w:rFonts w:hint="eastAsia"/>
                <w:szCs w:val="21"/>
              </w:rPr>
              <w:t>序号</w:t>
            </w:r>
          </w:p>
        </w:tc>
        <w:tc>
          <w:tcPr>
            <w:tcW w:w="1510" w:type="dxa"/>
          </w:tcPr>
          <w:p>
            <w:pPr>
              <w:jc w:val="center"/>
              <w:rPr>
                <w:szCs w:val="21"/>
              </w:rPr>
            </w:pPr>
            <w:r>
              <w:rPr>
                <w:rFonts w:hint="eastAsia"/>
                <w:szCs w:val="21"/>
              </w:rPr>
              <w:t>货物名称</w:t>
            </w:r>
          </w:p>
        </w:tc>
        <w:tc>
          <w:tcPr>
            <w:tcW w:w="1559" w:type="dxa"/>
          </w:tcPr>
          <w:p>
            <w:pPr>
              <w:jc w:val="center"/>
              <w:rPr>
                <w:szCs w:val="21"/>
              </w:rPr>
            </w:pPr>
            <w:r>
              <w:rPr>
                <w:rFonts w:hint="eastAsia"/>
                <w:szCs w:val="21"/>
              </w:rPr>
              <w:t>规格及型号</w:t>
            </w:r>
          </w:p>
        </w:tc>
        <w:tc>
          <w:tcPr>
            <w:tcW w:w="1560" w:type="dxa"/>
          </w:tcPr>
          <w:p>
            <w:pPr>
              <w:jc w:val="center"/>
              <w:rPr>
                <w:szCs w:val="21"/>
              </w:rPr>
            </w:pPr>
            <w:r>
              <w:rPr>
                <w:rFonts w:hint="eastAsia"/>
                <w:szCs w:val="21"/>
              </w:rPr>
              <w:t>采购文件要求数量及单位</w:t>
            </w:r>
          </w:p>
        </w:tc>
        <w:tc>
          <w:tcPr>
            <w:tcW w:w="1134" w:type="dxa"/>
          </w:tcPr>
          <w:p>
            <w:pPr>
              <w:jc w:val="center"/>
              <w:rPr>
                <w:szCs w:val="21"/>
              </w:rPr>
            </w:pPr>
            <w:r>
              <w:rPr>
                <w:rFonts w:hint="eastAsia"/>
                <w:szCs w:val="21"/>
              </w:rPr>
              <w:t>应答数量及单位</w:t>
            </w:r>
          </w:p>
        </w:tc>
        <w:tc>
          <w:tcPr>
            <w:tcW w:w="1758"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559" w:type="dxa"/>
          </w:tcPr>
          <w:p>
            <w:pPr>
              <w:rPr>
                <w:szCs w:val="21"/>
              </w:rPr>
            </w:pPr>
          </w:p>
        </w:tc>
        <w:tc>
          <w:tcPr>
            <w:tcW w:w="1560" w:type="dxa"/>
          </w:tcPr>
          <w:p>
            <w:pPr>
              <w:rPr>
                <w:szCs w:val="21"/>
              </w:rPr>
            </w:pPr>
          </w:p>
        </w:tc>
        <w:tc>
          <w:tcPr>
            <w:tcW w:w="1134" w:type="dxa"/>
          </w:tcPr>
          <w:p>
            <w:pPr>
              <w:rPr>
                <w:szCs w:val="21"/>
              </w:rPr>
            </w:pPr>
          </w:p>
        </w:tc>
        <w:tc>
          <w:tcPr>
            <w:tcW w:w="175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559" w:type="dxa"/>
          </w:tcPr>
          <w:p>
            <w:pPr>
              <w:rPr>
                <w:szCs w:val="21"/>
              </w:rPr>
            </w:pPr>
          </w:p>
        </w:tc>
        <w:tc>
          <w:tcPr>
            <w:tcW w:w="1560" w:type="dxa"/>
          </w:tcPr>
          <w:p>
            <w:pPr>
              <w:rPr>
                <w:szCs w:val="21"/>
              </w:rPr>
            </w:pPr>
          </w:p>
        </w:tc>
        <w:tc>
          <w:tcPr>
            <w:tcW w:w="1134" w:type="dxa"/>
          </w:tcPr>
          <w:p>
            <w:pPr>
              <w:rPr>
                <w:szCs w:val="21"/>
              </w:rPr>
            </w:pPr>
          </w:p>
        </w:tc>
        <w:tc>
          <w:tcPr>
            <w:tcW w:w="175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559" w:type="dxa"/>
          </w:tcPr>
          <w:p>
            <w:pPr>
              <w:rPr>
                <w:szCs w:val="21"/>
              </w:rPr>
            </w:pPr>
          </w:p>
        </w:tc>
        <w:tc>
          <w:tcPr>
            <w:tcW w:w="1560" w:type="dxa"/>
          </w:tcPr>
          <w:p>
            <w:pPr>
              <w:rPr>
                <w:szCs w:val="21"/>
              </w:rPr>
            </w:pPr>
          </w:p>
        </w:tc>
        <w:tc>
          <w:tcPr>
            <w:tcW w:w="1134" w:type="dxa"/>
          </w:tcPr>
          <w:p>
            <w:pPr>
              <w:rPr>
                <w:szCs w:val="21"/>
              </w:rPr>
            </w:pPr>
          </w:p>
        </w:tc>
        <w:tc>
          <w:tcPr>
            <w:tcW w:w="175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559" w:type="dxa"/>
          </w:tcPr>
          <w:p>
            <w:pPr>
              <w:rPr>
                <w:szCs w:val="21"/>
              </w:rPr>
            </w:pPr>
          </w:p>
        </w:tc>
        <w:tc>
          <w:tcPr>
            <w:tcW w:w="1560" w:type="dxa"/>
          </w:tcPr>
          <w:p>
            <w:pPr>
              <w:rPr>
                <w:szCs w:val="21"/>
              </w:rPr>
            </w:pPr>
          </w:p>
        </w:tc>
        <w:tc>
          <w:tcPr>
            <w:tcW w:w="1134" w:type="dxa"/>
          </w:tcPr>
          <w:p>
            <w:pPr>
              <w:rPr>
                <w:szCs w:val="21"/>
              </w:rPr>
            </w:pPr>
          </w:p>
        </w:tc>
        <w:tc>
          <w:tcPr>
            <w:tcW w:w="175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559" w:type="dxa"/>
          </w:tcPr>
          <w:p>
            <w:pPr>
              <w:rPr>
                <w:szCs w:val="21"/>
              </w:rPr>
            </w:pPr>
          </w:p>
        </w:tc>
        <w:tc>
          <w:tcPr>
            <w:tcW w:w="1560" w:type="dxa"/>
          </w:tcPr>
          <w:p>
            <w:pPr>
              <w:rPr>
                <w:szCs w:val="21"/>
              </w:rPr>
            </w:pPr>
          </w:p>
        </w:tc>
        <w:tc>
          <w:tcPr>
            <w:tcW w:w="1134" w:type="dxa"/>
          </w:tcPr>
          <w:p>
            <w:pPr>
              <w:rPr>
                <w:szCs w:val="21"/>
              </w:rPr>
            </w:pPr>
          </w:p>
        </w:tc>
        <w:tc>
          <w:tcPr>
            <w:tcW w:w="175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rPr>
                <w:szCs w:val="21"/>
              </w:rPr>
            </w:pPr>
          </w:p>
        </w:tc>
        <w:tc>
          <w:tcPr>
            <w:tcW w:w="1510" w:type="dxa"/>
          </w:tcPr>
          <w:p>
            <w:pPr>
              <w:rPr>
                <w:szCs w:val="21"/>
              </w:rPr>
            </w:pPr>
          </w:p>
        </w:tc>
        <w:tc>
          <w:tcPr>
            <w:tcW w:w="1559" w:type="dxa"/>
          </w:tcPr>
          <w:p>
            <w:pPr>
              <w:rPr>
                <w:szCs w:val="21"/>
              </w:rPr>
            </w:pPr>
          </w:p>
        </w:tc>
        <w:tc>
          <w:tcPr>
            <w:tcW w:w="1560" w:type="dxa"/>
          </w:tcPr>
          <w:p>
            <w:pPr>
              <w:rPr>
                <w:szCs w:val="21"/>
              </w:rPr>
            </w:pPr>
          </w:p>
        </w:tc>
        <w:tc>
          <w:tcPr>
            <w:tcW w:w="1134" w:type="dxa"/>
          </w:tcPr>
          <w:p>
            <w:pPr>
              <w:rPr>
                <w:szCs w:val="21"/>
              </w:rPr>
            </w:pPr>
          </w:p>
        </w:tc>
        <w:tc>
          <w:tcPr>
            <w:tcW w:w="1758" w:type="dxa"/>
          </w:tcPr>
          <w:p>
            <w:pPr>
              <w:rPr>
                <w:szCs w:val="21"/>
              </w:rPr>
            </w:pPr>
          </w:p>
        </w:tc>
      </w:tr>
    </w:tbl>
    <w:p>
      <w:pPr>
        <w:rPr>
          <w:szCs w:val="21"/>
        </w:rPr>
      </w:pPr>
      <w:r>
        <w:rPr>
          <w:rFonts w:hint="eastAsia"/>
          <w:szCs w:val="21"/>
        </w:rPr>
        <w:t>注：请供应商按要求认真填写；</w:t>
      </w:r>
    </w:p>
    <w:p>
      <w:pPr>
        <w:pStyle w:val="5"/>
        <w:jc w:val="center"/>
        <w:rPr>
          <w:rFonts w:ascii="黑体" w:eastAsia="黑体"/>
          <w:b w:val="0"/>
          <w:kern w:val="0"/>
          <w:sz w:val="24"/>
        </w:rPr>
      </w:pPr>
      <w:r>
        <w:rPr>
          <w:rFonts w:hint="eastAsia" w:ascii="黑体" w:eastAsia="黑体"/>
          <w:b w:val="0"/>
          <w:kern w:val="0"/>
          <w:sz w:val="24"/>
        </w:rPr>
        <w:t>四、分项报价清单</w:t>
      </w:r>
    </w:p>
    <w:tbl>
      <w:tblPr>
        <w:tblStyle w:val="41"/>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52"/>
        <w:gridCol w:w="1080"/>
        <w:gridCol w:w="1440"/>
        <w:gridCol w:w="900"/>
        <w:gridCol w:w="720"/>
        <w:gridCol w:w="720"/>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jc w:val="center"/>
              <w:rPr>
                <w:szCs w:val="21"/>
              </w:rPr>
            </w:pPr>
            <w:r>
              <w:rPr>
                <w:rFonts w:hint="eastAsia"/>
                <w:szCs w:val="21"/>
              </w:rPr>
              <w:t>序号</w:t>
            </w:r>
          </w:p>
        </w:tc>
        <w:tc>
          <w:tcPr>
            <w:tcW w:w="1852" w:type="dxa"/>
            <w:vAlign w:val="center"/>
          </w:tcPr>
          <w:p>
            <w:pPr>
              <w:jc w:val="center"/>
              <w:rPr>
                <w:szCs w:val="21"/>
              </w:rPr>
            </w:pPr>
            <w:r>
              <w:rPr>
                <w:rFonts w:hint="eastAsia"/>
                <w:szCs w:val="21"/>
              </w:rPr>
              <w:t>项目编号</w:t>
            </w:r>
          </w:p>
        </w:tc>
        <w:tc>
          <w:tcPr>
            <w:tcW w:w="1080" w:type="dxa"/>
            <w:vAlign w:val="center"/>
          </w:tcPr>
          <w:p>
            <w:pPr>
              <w:jc w:val="center"/>
              <w:rPr>
                <w:szCs w:val="21"/>
              </w:rPr>
            </w:pPr>
            <w:r>
              <w:rPr>
                <w:rFonts w:hint="eastAsia"/>
                <w:szCs w:val="21"/>
              </w:rPr>
              <w:t>货物名称</w:t>
            </w:r>
          </w:p>
        </w:tc>
        <w:tc>
          <w:tcPr>
            <w:tcW w:w="1440" w:type="dxa"/>
            <w:vAlign w:val="center"/>
          </w:tcPr>
          <w:p>
            <w:pPr>
              <w:jc w:val="center"/>
              <w:rPr>
                <w:szCs w:val="21"/>
              </w:rPr>
            </w:pPr>
            <w:r>
              <w:rPr>
                <w:rFonts w:hint="eastAsia"/>
                <w:szCs w:val="21"/>
              </w:rPr>
              <w:t>规格或型号</w:t>
            </w:r>
          </w:p>
        </w:tc>
        <w:tc>
          <w:tcPr>
            <w:tcW w:w="900" w:type="dxa"/>
            <w:vAlign w:val="center"/>
          </w:tcPr>
          <w:p>
            <w:pPr>
              <w:jc w:val="center"/>
              <w:rPr>
                <w:b/>
                <w:szCs w:val="21"/>
              </w:rPr>
            </w:pPr>
            <w:r>
              <w:rPr>
                <w:rFonts w:hint="eastAsia"/>
                <w:szCs w:val="21"/>
              </w:rPr>
              <w:t>原产地</w:t>
            </w:r>
          </w:p>
        </w:tc>
        <w:tc>
          <w:tcPr>
            <w:tcW w:w="720" w:type="dxa"/>
            <w:vAlign w:val="center"/>
          </w:tcPr>
          <w:p>
            <w:pPr>
              <w:jc w:val="center"/>
              <w:rPr>
                <w:szCs w:val="21"/>
              </w:rPr>
            </w:pPr>
            <w:r>
              <w:rPr>
                <w:rFonts w:hint="eastAsia"/>
                <w:szCs w:val="21"/>
              </w:rPr>
              <w:t>品牌</w:t>
            </w:r>
          </w:p>
        </w:tc>
        <w:tc>
          <w:tcPr>
            <w:tcW w:w="720" w:type="dxa"/>
            <w:vAlign w:val="center"/>
          </w:tcPr>
          <w:p>
            <w:pPr>
              <w:jc w:val="center"/>
              <w:rPr>
                <w:szCs w:val="21"/>
              </w:rPr>
            </w:pPr>
            <w:r>
              <w:rPr>
                <w:rFonts w:hint="eastAsia"/>
                <w:szCs w:val="21"/>
              </w:rPr>
              <w:t>数量</w:t>
            </w:r>
          </w:p>
        </w:tc>
        <w:tc>
          <w:tcPr>
            <w:tcW w:w="900" w:type="dxa"/>
            <w:vAlign w:val="center"/>
          </w:tcPr>
          <w:p>
            <w:pPr>
              <w:jc w:val="center"/>
              <w:rPr>
                <w:szCs w:val="21"/>
              </w:rPr>
            </w:pPr>
            <w:r>
              <w:rPr>
                <w:rFonts w:hint="eastAsia"/>
                <w:szCs w:val="21"/>
              </w:rPr>
              <w:t>单价(元)</w:t>
            </w:r>
          </w:p>
        </w:tc>
        <w:tc>
          <w:tcPr>
            <w:tcW w:w="900" w:type="dxa"/>
            <w:vAlign w:val="center"/>
          </w:tcPr>
          <w:p>
            <w:pPr>
              <w:jc w:val="center"/>
              <w:rPr>
                <w:szCs w:val="21"/>
              </w:rPr>
            </w:pPr>
            <w:r>
              <w:rPr>
                <w:rFonts w:hint="eastAsia"/>
                <w:szCs w:val="21"/>
              </w:rPr>
              <w:t>合价(元)</w:t>
            </w:r>
          </w:p>
        </w:tc>
        <w:tc>
          <w:tcPr>
            <w:tcW w:w="956" w:type="dxa"/>
            <w:vAlign w:val="center"/>
          </w:tcPr>
          <w:p>
            <w:pPr>
              <w:jc w:val="center"/>
              <w:rPr>
                <w:szCs w:val="21"/>
              </w:rPr>
            </w:pPr>
            <w:r>
              <w:rPr>
                <w:rFonts w:hint="eastAsia"/>
                <w:szCs w:val="21"/>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rPr>
                <w:szCs w:val="21"/>
              </w:rPr>
            </w:pPr>
          </w:p>
        </w:tc>
        <w:tc>
          <w:tcPr>
            <w:tcW w:w="1852" w:type="dxa"/>
            <w:vMerge w:val="restart"/>
          </w:tcPr>
          <w:p>
            <w:pPr>
              <w:rPr>
                <w:szCs w:val="21"/>
              </w:rPr>
            </w:pPr>
          </w:p>
        </w:tc>
        <w:tc>
          <w:tcPr>
            <w:tcW w:w="1080" w:type="dxa"/>
          </w:tcPr>
          <w:p>
            <w:pPr>
              <w:rPr>
                <w:szCs w:val="21"/>
              </w:rPr>
            </w:pPr>
          </w:p>
        </w:tc>
        <w:tc>
          <w:tcPr>
            <w:tcW w:w="1440" w:type="dxa"/>
          </w:tcPr>
          <w:p>
            <w:pPr>
              <w:rPr>
                <w:szCs w:val="21"/>
              </w:rPr>
            </w:pPr>
          </w:p>
        </w:tc>
        <w:tc>
          <w:tcPr>
            <w:tcW w:w="900" w:type="dxa"/>
          </w:tcPr>
          <w:p>
            <w:pPr>
              <w:rPr>
                <w:szCs w:val="21"/>
              </w:rPr>
            </w:pPr>
          </w:p>
        </w:tc>
        <w:tc>
          <w:tcPr>
            <w:tcW w:w="720" w:type="dxa"/>
          </w:tcPr>
          <w:p>
            <w:pPr>
              <w:rPr>
                <w:szCs w:val="21"/>
              </w:rPr>
            </w:pPr>
          </w:p>
        </w:tc>
        <w:tc>
          <w:tcPr>
            <w:tcW w:w="720" w:type="dxa"/>
          </w:tcPr>
          <w:p>
            <w:pPr>
              <w:rPr>
                <w:szCs w:val="21"/>
              </w:rPr>
            </w:pPr>
          </w:p>
        </w:tc>
        <w:tc>
          <w:tcPr>
            <w:tcW w:w="900" w:type="dxa"/>
          </w:tcPr>
          <w:p>
            <w:pPr>
              <w:rPr>
                <w:szCs w:val="21"/>
              </w:rPr>
            </w:pPr>
          </w:p>
        </w:tc>
        <w:tc>
          <w:tcPr>
            <w:tcW w:w="900" w:type="dxa"/>
          </w:tcPr>
          <w:p>
            <w:pPr>
              <w:rPr>
                <w:szCs w:val="21"/>
              </w:rPr>
            </w:pPr>
          </w:p>
        </w:tc>
        <w:tc>
          <w:tcPr>
            <w:tcW w:w="956" w:type="dxa"/>
            <w:vMerge w:val="restar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rPr>
                <w:szCs w:val="21"/>
              </w:rPr>
            </w:pPr>
          </w:p>
        </w:tc>
        <w:tc>
          <w:tcPr>
            <w:tcW w:w="1852" w:type="dxa"/>
            <w:vMerge w:val="continue"/>
          </w:tcPr>
          <w:p>
            <w:pPr>
              <w:rPr>
                <w:szCs w:val="21"/>
              </w:rPr>
            </w:pPr>
          </w:p>
        </w:tc>
        <w:tc>
          <w:tcPr>
            <w:tcW w:w="1080" w:type="dxa"/>
          </w:tcPr>
          <w:p>
            <w:pPr>
              <w:rPr>
                <w:szCs w:val="21"/>
              </w:rPr>
            </w:pPr>
          </w:p>
        </w:tc>
        <w:tc>
          <w:tcPr>
            <w:tcW w:w="1440" w:type="dxa"/>
          </w:tcPr>
          <w:p>
            <w:pPr>
              <w:rPr>
                <w:szCs w:val="21"/>
              </w:rPr>
            </w:pPr>
          </w:p>
        </w:tc>
        <w:tc>
          <w:tcPr>
            <w:tcW w:w="900" w:type="dxa"/>
          </w:tcPr>
          <w:p>
            <w:pPr>
              <w:rPr>
                <w:szCs w:val="21"/>
              </w:rPr>
            </w:pPr>
          </w:p>
        </w:tc>
        <w:tc>
          <w:tcPr>
            <w:tcW w:w="720" w:type="dxa"/>
          </w:tcPr>
          <w:p>
            <w:pPr>
              <w:rPr>
                <w:szCs w:val="21"/>
              </w:rPr>
            </w:pPr>
          </w:p>
        </w:tc>
        <w:tc>
          <w:tcPr>
            <w:tcW w:w="720" w:type="dxa"/>
          </w:tcPr>
          <w:p>
            <w:pPr>
              <w:rPr>
                <w:szCs w:val="21"/>
              </w:rPr>
            </w:pPr>
          </w:p>
        </w:tc>
        <w:tc>
          <w:tcPr>
            <w:tcW w:w="900" w:type="dxa"/>
          </w:tcPr>
          <w:p>
            <w:pPr>
              <w:rPr>
                <w:szCs w:val="21"/>
              </w:rPr>
            </w:pPr>
          </w:p>
        </w:tc>
        <w:tc>
          <w:tcPr>
            <w:tcW w:w="900" w:type="dxa"/>
          </w:tcPr>
          <w:p>
            <w:pPr>
              <w:rPr>
                <w:szCs w:val="21"/>
              </w:rPr>
            </w:pPr>
          </w:p>
        </w:tc>
        <w:tc>
          <w:tcPr>
            <w:tcW w:w="956"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rPr>
                <w:szCs w:val="21"/>
              </w:rPr>
            </w:pPr>
          </w:p>
        </w:tc>
        <w:tc>
          <w:tcPr>
            <w:tcW w:w="1852" w:type="dxa"/>
            <w:vMerge w:val="continue"/>
          </w:tcPr>
          <w:p>
            <w:pPr>
              <w:rPr>
                <w:szCs w:val="21"/>
              </w:rPr>
            </w:pPr>
          </w:p>
        </w:tc>
        <w:tc>
          <w:tcPr>
            <w:tcW w:w="1080" w:type="dxa"/>
          </w:tcPr>
          <w:p>
            <w:pPr>
              <w:rPr>
                <w:szCs w:val="21"/>
              </w:rPr>
            </w:pPr>
          </w:p>
        </w:tc>
        <w:tc>
          <w:tcPr>
            <w:tcW w:w="1440" w:type="dxa"/>
          </w:tcPr>
          <w:p>
            <w:pPr>
              <w:rPr>
                <w:szCs w:val="21"/>
              </w:rPr>
            </w:pPr>
          </w:p>
        </w:tc>
        <w:tc>
          <w:tcPr>
            <w:tcW w:w="900" w:type="dxa"/>
          </w:tcPr>
          <w:p>
            <w:pPr>
              <w:rPr>
                <w:szCs w:val="21"/>
              </w:rPr>
            </w:pPr>
          </w:p>
        </w:tc>
        <w:tc>
          <w:tcPr>
            <w:tcW w:w="720" w:type="dxa"/>
          </w:tcPr>
          <w:p>
            <w:pPr>
              <w:rPr>
                <w:szCs w:val="21"/>
              </w:rPr>
            </w:pPr>
          </w:p>
        </w:tc>
        <w:tc>
          <w:tcPr>
            <w:tcW w:w="720" w:type="dxa"/>
          </w:tcPr>
          <w:p>
            <w:pPr>
              <w:rPr>
                <w:szCs w:val="21"/>
              </w:rPr>
            </w:pPr>
          </w:p>
        </w:tc>
        <w:tc>
          <w:tcPr>
            <w:tcW w:w="900" w:type="dxa"/>
          </w:tcPr>
          <w:p>
            <w:pPr>
              <w:rPr>
                <w:szCs w:val="21"/>
              </w:rPr>
            </w:pPr>
          </w:p>
        </w:tc>
        <w:tc>
          <w:tcPr>
            <w:tcW w:w="900" w:type="dxa"/>
          </w:tcPr>
          <w:p>
            <w:pPr>
              <w:rPr>
                <w:szCs w:val="21"/>
              </w:rPr>
            </w:pPr>
          </w:p>
        </w:tc>
        <w:tc>
          <w:tcPr>
            <w:tcW w:w="956"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2" w:type="dxa"/>
            <w:gridSpan w:val="9"/>
          </w:tcPr>
          <w:p>
            <w:pPr>
              <w:rPr>
                <w:szCs w:val="21"/>
              </w:rPr>
            </w:pPr>
            <w:r>
              <w:rPr>
                <w:rFonts w:hint="eastAsia"/>
                <w:szCs w:val="21"/>
              </w:rPr>
              <w:t>合计（即：应答总价；币种：人民币；单位：元）</w:t>
            </w:r>
          </w:p>
        </w:tc>
        <w:tc>
          <w:tcPr>
            <w:tcW w:w="956" w:type="dxa"/>
          </w:tcPr>
          <w:p>
            <w:pPr>
              <w:rPr>
                <w:szCs w:val="21"/>
              </w:rPr>
            </w:pPr>
          </w:p>
        </w:tc>
      </w:tr>
    </w:tbl>
    <w:p>
      <w:pPr>
        <w:rPr>
          <w:rFonts w:ascii="宋体" w:hAnsi="宋体"/>
          <w:szCs w:val="21"/>
        </w:rPr>
      </w:pPr>
      <w:r>
        <w:rPr>
          <w:rFonts w:hint="eastAsia" w:ascii="宋体" w:hAnsi="宋体"/>
          <w:szCs w:val="21"/>
        </w:rPr>
        <w:t>供应商名称：</w:t>
      </w:r>
      <w:r>
        <w:rPr>
          <w:rFonts w:hint="eastAsia" w:ascii="宋体" w:hAnsi="宋体"/>
          <w:szCs w:val="21"/>
          <w:u w:val="single"/>
        </w:rPr>
        <w:t xml:space="preserve">                   </w:t>
      </w:r>
    </w:p>
    <w:p>
      <w:pPr>
        <w:rPr>
          <w:rFonts w:ascii="宋体" w:hAnsi="宋体"/>
          <w:szCs w:val="21"/>
        </w:rPr>
      </w:pPr>
      <w:r>
        <w:rPr>
          <w:rFonts w:hint="eastAsia" w:ascii="宋体" w:hAnsi="宋体"/>
          <w:szCs w:val="21"/>
        </w:rPr>
        <w:t>供应商代表姓名：</w:t>
      </w:r>
      <w:r>
        <w:rPr>
          <w:rFonts w:hint="eastAsia" w:ascii="宋体" w:hAnsi="宋体"/>
          <w:szCs w:val="21"/>
          <w:u w:val="single"/>
        </w:rPr>
        <w:t xml:space="preserve">               </w:t>
      </w:r>
    </w:p>
    <w:p>
      <w:pPr>
        <w:rPr>
          <w:rFonts w:ascii="宋体" w:hAnsi="宋体"/>
          <w:color w:val="000000"/>
          <w:szCs w:val="21"/>
        </w:rPr>
      </w:pPr>
      <w:r>
        <w:rPr>
          <w:rFonts w:hint="eastAsia" w:ascii="宋体" w:hAnsi="宋体"/>
          <w:color w:val="FF0000"/>
          <w:szCs w:val="21"/>
        </w:rPr>
        <w:t>注：</w:t>
      </w:r>
      <w:r>
        <w:rPr>
          <w:rFonts w:hint="eastAsia" w:ascii="宋体" w:hAnsi="宋体"/>
          <w:color w:val="000000"/>
          <w:szCs w:val="21"/>
        </w:rPr>
        <w:t>1.所有价格应按“采购文件”中规定的货币单位填写；</w:t>
      </w:r>
    </w:p>
    <w:p>
      <w:pPr>
        <w:rPr>
          <w:rFonts w:ascii="宋体" w:hAnsi="宋体"/>
          <w:color w:val="000000"/>
          <w:szCs w:val="21"/>
        </w:rPr>
      </w:pPr>
      <w:r>
        <w:rPr>
          <w:rFonts w:ascii="宋体" w:hAnsi="宋体"/>
          <w:color w:val="000000"/>
          <w:szCs w:val="21"/>
        </w:rPr>
        <w:t xml:space="preserve">    2</w:t>
      </w:r>
      <w:r>
        <w:rPr>
          <w:rFonts w:hint="eastAsia" w:ascii="宋体" w:hAnsi="宋体"/>
          <w:color w:val="000000"/>
          <w:szCs w:val="21"/>
        </w:rPr>
        <w:t>.应答总价应为以上各分项价格之和；</w:t>
      </w:r>
    </w:p>
    <w:p>
      <w:pPr>
        <w:ind w:firstLine="420" w:firstLineChars="200"/>
        <w:rPr>
          <w:rFonts w:ascii="宋体" w:hAnsi="宋体"/>
          <w:color w:val="000000"/>
          <w:szCs w:val="21"/>
        </w:rPr>
      </w:pPr>
      <w:r>
        <w:rPr>
          <w:rFonts w:hint="eastAsia" w:ascii="宋体" w:hAnsi="宋体"/>
          <w:color w:val="000000"/>
          <w:szCs w:val="21"/>
        </w:rPr>
        <w:t>3.本表格式不得作实质性的改动；</w:t>
      </w:r>
    </w:p>
    <w:p>
      <w:pPr>
        <w:ind w:firstLine="420" w:firstLineChars="200"/>
        <w:rPr>
          <w:rFonts w:ascii="宋体" w:hAnsi="宋体"/>
          <w:color w:val="000000"/>
          <w:szCs w:val="21"/>
        </w:rPr>
      </w:pPr>
      <w:r>
        <w:rPr>
          <w:rFonts w:hint="eastAsia" w:ascii="宋体" w:hAnsi="宋体"/>
          <w:color w:val="000000"/>
          <w:szCs w:val="21"/>
        </w:rPr>
        <w:t>4.单价、合价和应答总价为包干价，即三者均应包含设备的价款、包装、运输、装卸、安装、调试、技术指导、培训、咨询、服务、保险、税费、检测、验收合格交付使用之前以及技术和售后服务等其他各项有关费用。</w:t>
      </w:r>
    </w:p>
    <w:p>
      <w:pPr>
        <w:ind w:firstLine="411" w:firstLineChars="196"/>
        <w:rPr>
          <w:rFonts w:ascii="宋体" w:hAnsi="宋体"/>
          <w:szCs w:val="21"/>
        </w:rPr>
      </w:pPr>
      <w:r>
        <w:rPr>
          <w:rFonts w:hint="eastAsia" w:ascii="宋体" w:hAnsi="宋体"/>
          <w:color w:val="000000"/>
          <w:szCs w:val="21"/>
        </w:rPr>
        <w:t>5.应</w:t>
      </w:r>
      <w:r>
        <w:rPr>
          <w:rFonts w:hint="eastAsia" w:ascii="宋体" w:hAnsi="宋体"/>
          <w:szCs w:val="21"/>
        </w:rPr>
        <w:t>答总价和项目报价表中单个采购预算条目报价均不得超过对应的项目预算金额，否则将导致投标无效。</w:t>
      </w:r>
    </w:p>
    <w:p>
      <w:pPr>
        <w:ind w:firstLine="411" w:firstLineChars="196"/>
        <w:rPr>
          <w:rStyle w:val="40"/>
        </w:rPr>
      </w:pPr>
      <w:r>
        <w:rPr>
          <w:rFonts w:hint="eastAsia" w:ascii="宋体" w:hAnsi="宋体"/>
          <w:szCs w:val="21"/>
        </w:rPr>
        <w:t>6.应答总价必须与项目报价表的应答总价一致。</w:t>
      </w:r>
    </w:p>
    <w:p>
      <w:pPr>
        <w:ind w:firstLine="411" w:firstLineChars="196"/>
        <w:rPr>
          <w:rFonts w:ascii="宋体" w:hAnsi="宋体"/>
          <w:szCs w:val="21"/>
        </w:rPr>
      </w:pPr>
      <w:r>
        <w:rPr>
          <w:rFonts w:hint="eastAsia" w:ascii="宋体" w:hAnsi="宋体"/>
          <w:szCs w:val="21"/>
        </w:rPr>
        <w:t>7.“原产地”是指该产品的实际生产加工地，而非品牌总公司所在地。</w:t>
      </w:r>
    </w:p>
    <w:p>
      <w:r>
        <w:rPr>
          <w:rFonts w:hint="eastAsia"/>
        </w:rPr>
        <w:t xml:space="preserve"> </w:t>
      </w:r>
      <w:r>
        <w:rPr>
          <w:rStyle w:val="40"/>
          <w:rFonts w:ascii="宋体" w:hAnsi="Arial" w:cs="Verdana"/>
          <w:b/>
          <w:kern w:val="0"/>
        </w:rPr>
        <w:t xml:space="preserve">  </w:t>
      </w:r>
      <w:r>
        <w:rPr>
          <w:rFonts w:hint="eastAsia" w:hAnsi="宋体"/>
          <w:szCs w:val="21"/>
        </w:rPr>
        <w:t xml:space="preserve"> </w:t>
      </w:r>
      <w:r>
        <w:rPr>
          <w:rFonts w:hint="eastAsia" w:ascii="宋体" w:hAnsi="宋体"/>
          <w:szCs w:val="21"/>
        </w:rPr>
        <w:t>8.详细填写所投货物的制造商名称，若所投产品属于定制类的非量产货物或无具体品牌型号的货物，可以不填写品牌、型号等信息，但应当标注投标产品为定制产品。</w:t>
      </w:r>
    </w:p>
    <w:p/>
    <w:p>
      <w:pPr>
        <w:pStyle w:val="5"/>
        <w:jc w:val="center"/>
        <w:rPr>
          <w:rFonts w:ascii="黑体" w:eastAsia="黑体"/>
          <w:b w:val="0"/>
          <w:sz w:val="24"/>
          <w:szCs w:val="24"/>
        </w:rPr>
      </w:pPr>
      <w:r>
        <w:rPr>
          <w:rFonts w:hint="eastAsia" w:ascii="黑体" w:eastAsia="黑体"/>
          <w:b w:val="0"/>
          <w:sz w:val="24"/>
          <w:szCs w:val="24"/>
        </w:rPr>
        <w:t>五、技术规格偏离表</w:t>
      </w:r>
    </w:p>
    <w:tbl>
      <w:tblPr>
        <w:tblStyle w:val="41"/>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148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jc w:val="center"/>
              <w:rPr>
                <w:szCs w:val="21"/>
              </w:rPr>
            </w:pPr>
            <w:r>
              <w:rPr>
                <w:rFonts w:hint="eastAsia"/>
                <w:szCs w:val="21"/>
              </w:rPr>
              <w:t>序号</w:t>
            </w:r>
          </w:p>
        </w:tc>
        <w:tc>
          <w:tcPr>
            <w:tcW w:w="1356" w:type="dxa"/>
            <w:vAlign w:val="center"/>
          </w:tcPr>
          <w:p>
            <w:pPr>
              <w:jc w:val="center"/>
              <w:rPr>
                <w:szCs w:val="21"/>
              </w:rPr>
            </w:pPr>
            <w:r>
              <w:rPr>
                <w:rFonts w:hint="eastAsia"/>
                <w:szCs w:val="21"/>
              </w:rPr>
              <w:t>货物名称</w:t>
            </w:r>
          </w:p>
        </w:tc>
        <w:tc>
          <w:tcPr>
            <w:tcW w:w="1356" w:type="dxa"/>
            <w:vAlign w:val="center"/>
          </w:tcPr>
          <w:p>
            <w:pPr>
              <w:jc w:val="center"/>
              <w:rPr>
                <w:szCs w:val="21"/>
              </w:rPr>
            </w:pPr>
            <w:r>
              <w:rPr>
                <w:rFonts w:hint="eastAsia"/>
                <w:szCs w:val="21"/>
              </w:rPr>
              <w:t>采购规格</w:t>
            </w:r>
          </w:p>
        </w:tc>
        <w:tc>
          <w:tcPr>
            <w:tcW w:w="1356" w:type="dxa"/>
            <w:vAlign w:val="center"/>
          </w:tcPr>
          <w:p>
            <w:pPr>
              <w:jc w:val="center"/>
              <w:rPr>
                <w:szCs w:val="21"/>
              </w:rPr>
            </w:pPr>
            <w:r>
              <w:rPr>
                <w:rFonts w:hint="eastAsia"/>
                <w:szCs w:val="21"/>
              </w:rPr>
              <w:t>应答规格</w:t>
            </w:r>
          </w:p>
        </w:tc>
        <w:tc>
          <w:tcPr>
            <w:tcW w:w="1484" w:type="dxa"/>
            <w:vAlign w:val="center"/>
          </w:tcPr>
          <w:p>
            <w:pPr>
              <w:jc w:val="center"/>
              <w:rPr>
                <w:szCs w:val="21"/>
              </w:rPr>
            </w:pPr>
            <w:r>
              <w:rPr>
                <w:rFonts w:hint="eastAsia"/>
                <w:szCs w:val="21"/>
              </w:rPr>
              <w:t>偏离</w:t>
            </w:r>
          </w:p>
        </w:tc>
        <w:tc>
          <w:tcPr>
            <w:tcW w:w="1530" w:type="dxa"/>
            <w:vAlign w:val="center"/>
          </w:tcPr>
          <w:p>
            <w:pPr>
              <w:jc w:val="center"/>
              <w:rPr>
                <w:szCs w:val="21"/>
              </w:rPr>
            </w:pPr>
            <w:r>
              <w:rPr>
                <w:rFonts w:hint="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spacing w:line="340" w:lineRule="exact"/>
              <w:rPr>
                <w:rFonts w:ascii="宋体" w:hAnsi="宋体"/>
                <w:color w:val="000000"/>
                <w:sz w:val="28"/>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tcPr>
          <w:p>
            <w:pPr>
              <w:rPr>
                <w:szCs w:val="21"/>
              </w:rPr>
            </w:pPr>
          </w:p>
        </w:tc>
        <w:tc>
          <w:tcPr>
            <w:tcW w:w="1356" w:type="dxa"/>
          </w:tcPr>
          <w:p>
            <w:pPr>
              <w:rPr>
                <w:szCs w:val="21"/>
              </w:rPr>
            </w:pPr>
          </w:p>
        </w:tc>
        <w:tc>
          <w:tcPr>
            <w:tcW w:w="1356" w:type="dxa"/>
          </w:tcPr>
          <w:p>
            <w:pPr>
              <w:rPr>
                <w:szCs w:val="21"/>
              </w:rPr>
            </w:pPr>
          </w:p>
        </w:tc>
        <w:tc>
          <w:tcPr>
            <w:tcW w:w="1356" w:type="dxa"/>
          </w:tcPr>
          <w:p>
            <w:pPr>
              <w:rPr>
                <w:szCs w:val="21"/>
              </w:rPr>
            </w:pPr>
          </w:p>
        </w:tc>
        <w:tc>
          <w:tcPr>
            <w:tcW w:w="1484" w:type="dxa"/>
          </w:tcPr>
          <w:p>
            <w:pPr>
              <w:rPr>
                <w:szCs w:val="21"/>
              </w:rPr>
            </w:pPr>
          </w:p>
        </w:tc>
        <w:tc>
          <w:tcPr>
            <w:tcW w:w="1530" w:type="dxa"/>
          </w:tcPr>
          <w:p>
            <w:pPr>
              <w:rPr>
                <w:szCs w:val="21"/>
              </w:rPr>
            </w:pPr>
          </w:p>
        </w:tc>
      </w:tr>
    </w:tbl>
    <w:p>
      <w:pPr>
        <w:rPr>
          <w:szCs w:val="21"/>
        </w:rPr>
      </w:pPr>
      <w:r>
        <w:rPr>
          <w:rFonts w:hint="eastAsia"/>
          <w:szCs w:val="21"/>
        </w:rPr>
        <w:t>注：1、“应答规格”一栏必须详细填写应答产品的具体参数，否则评审委员会有权认定为不合格响应；</w:t>
      </w:r>
    </w:p>
    <w:p>
      <w:pPr>
        <w:rPr>
          <w:szCs w:val="21"/>
        </w:rPr>
      </w:pPr>
      <w:r>
        <w:rPr>
          <w:rFonts w:hint="eastAsia"/>
          <w:szCs w:val="21"/>
        </w:rPr>
        <w:t>2、应答产品的技术参数应尽可能提供相应的证明资料，以证明供应商响应的真实性。证明资料包括制造商公布的产品说明书、产品彩页和我国政府机构出具的产品检验和核准证件等。供应商应在“说明”一栏中列出技术参数的证明资料名称，并指明该证明资料在应答文件中的具体位置。</w:t>
      </w:r>
    </w:p>
    <w:p>
      <w:pPr>
        <w:rPr>
          <w:color w:val="FF0000"/>
          <w:szCs w:val="21"/>
        </w:rPr>
      </w:pPr>
      <w:r>
        <w:rPr>
          <w:rFonts w:hint="eastAsia"/>
          <w:szCs w:val="21"/>
        </w:rPr>
        <w:t>3、证明资料（均为原件扫描件）的提供要求。</w:t>
      </w:r>
    </w:p>
    <w:p>
      <w:pPr>
        <w:rPr>
          <w:szCs w:val="21"/>
        </w:rPr>
      </w:pPr>
      <w:r>
        <w:rPr>
          <w:rFonts w:hint="eastAsia"/>
          <w:szCs w:val="21"/>
        </w:rPr>
        <w:t>（1）产品说明书或彩页应为制造商公布或出具的中文产品说明书或彩页；提供外文说明书或彩页的，必须同时提供加盖制造商公章的对应中文翻译说明，评审依据以中文翻译内容为准，外文说明书或彩页仅供参考；产品说明书或彩页的尺寸和清晰度应该能够在电脑上被阅读、识别和判断；</w:t>
      </w:r>
    </w:p>
    <w:p>
      <w:pPr>
        <w:rPr>
          <w:szCs w:val="21"/>
        </w:rPr>
      </w:pPr>
      <w:r>
        <w:rPr>
          <w:rFonts w:hint="eastAsia"/>
          <w:szCs w:val="21"/>
        </w:rPr>
        <w:t>（2）我国政府机构出具的产品检验和核准证件应为证件正面、背面和附件标注的全部具体内容；产品检验和核准证件的尺寸和清晰度应该能够在电脑上被阅读、识别和判断。</w:t>
      </w:r>
    </w:p>
    <w:p>
      <w:pPr>
        <w:ind w:firstLine="420" w:firstLineChars="200"/>
        <w:rPr>
          <w:szCs w:val="21"/>
        </w:rPr>
      </w:pPr>
      <w:r>
        <w:rPr>
          <w:rFonts w:hint="eastAsia"/>
          <w:szCs w:val="21"/>
        </w:rPr>
        <w:t>未达到以上提供要求的，评审委员会有权认定为不合格响应，其相关分数予以扣减或作投标无效处理。</w:t>
      </w:r>
    </w:p>
    <w:p>
      <w:pPr>
        <w:ind w:firstLine="482" w:firstLineChars="200"/>
        <w:rPr>
          <w:rFonts w:hAnsi="宋体"/>
          <w:b/>
          <w:bCs/>
          <w:color w:val="FF0000"/>
          <w:sz w:val="24"/>
        </w:rPr>
      </w:pPr>
    </w:p>
    <w:p>
      <w:pPr>
        <w:pStyle w:val="5"/>
        <w:ind w:firstLine="964"/>
        <w:jc w:val="center"/>
        <w:rPr>
          <w:rFonts w:ascii="黑体" w:eastAsia="黑体"/>
          <w:b w:val="0"/>
          <w:kern w:val="0"/>
          <w:sz w:val="24"/>
        </w:rPr>
      </w:pPr>
      <w:r>
        <w:rPr>
          <w:rFonts w:hint="eastAsia" w:ascii="黑体" w:eastAsia="黑体"/>
          <w:b w:val="0"/>
          <w:kern w:val="0"/>
          <w:sz w:val="24"/>
        </w:rPr>
        <w:t>六、售后服务内容</w:t>
      </w:r>
    </w:p>
    <w:p>
      <w:pPr>
        <w:rPr>
          <w:szCs w:val="21"/>
        </w:rPr>
      </w:pPr>
      <w:r>
        <w:rPr>
          <w:rFonts w:hint="eastAsia"/>
          <w:szCs w:val="21"/>
        </w:rPr>
        <w:t>主要内容应包括(根据项目实际情况适当调整内容)：</w:t>
      </w:r>
    </w:p>
    <w:p>
      <w:pPr>
        <w:rPr>
          <w:szCs w:val="21"/>
        </w:rPr>
      </w:pPr>
      <w:r>
        <w:rPr>
          <w:szCs w:val="21"/>
        </w:rPr>
        <w:t>1</w:t>
      </w:r>
      <w:r>
        <w:rPr>
          <w:rFonts w:hint="eastAsia"/>
          <w:szCs w:val="21"/>
        </w:rPr>
        <w:t>、免费质保期及免费质保部件名称；</w:t>
      </w:r>
    </w:p>
    <w:p>
      <w:pPr>
        <w:rPr>
          <w:szCs w:val="21"/>
        </w:rPr>
      </w:pPr>
      <w:r>
        <w:rPr>
          <w:szCs w:val="21"/>
        </w:rPr>
        <w:t>2</w:t>
      </w:r>
      <w:r>
        <w:rPr>
          <w:rFonts w:hint="eastAsia"/>
          <w:szCs w:val="21"/>
        </w:rPr>
        <w:t>、故障或技术支持响应时间；</w:t>
      </w:r>
    </w:p>
    <w:p>
      <w:pPr>
        <w:rPr>
          <w:szCs w:val="21"/>
        </w:rPr>
      </w:pPr>
      <w:r>
        <w:rPr>
          <w:szCs w:val="21"/>
        </w:rPr>
        <w:t>3</w:t>
      </w:r>
      <w:r>
        <w:rPr>
          <w:rFonts w:hint="eastAsia"/>
          <w:szCs w:val="21"/>
        </w:rPr>
        <w:t>、供应商承诺的其他维修维护方案、措施；</w:t>
      </w:r>
    </w:p>
    <w:p>
      <w:pPr>
        <w:rPr>
          <w:szCs w:val="21"/>
        </w:rPr>
      </w:pPr>
      <w:r>
        <w:rPr>
          <w:szCs w:val="21"/>
        </w:rPr>
        <w:t>4</w:t>
      </w:r>
      <w:r>
        <w:rPr>
          <w:rFonts w:hint="eastAsia"/>
          <w:szCs w:val="21"/>
        </w:rPr>
        <w:t>、售后服务及违约承诺。</w:t>
      </w:r>
    </w:p>
    <w:p>
      <w:pPr>
        <w:rPr>
          <w:szCs w:val="21"/>
        </w:rPr>
      </w:pPr>
      <w:r>
        <w:rPr>
          <w:rFonts w:hint="eastAsia"/>
          <w:szCs w:val="21"/>
        </w:rPr>
        <w:t>5、售后服务机构证明文件及联系人，联系电话。</w:t>
      </w:r>
    </w:p>
    <w:p>
      <w:pPr>
        <w:rPr>
          <w:szCs w:val="21"/>
        </w:rPr>
      </w:pPr>
    </w:p>
    <w:p>
      <w:pPr>
        <w:pStyle w:val="5"/>
        <w:jc w:val="center"/>
        <w:rPr>
          <w:rFonts w:ascii="黑体" w:eastAsia="黑体"/>
          <w:b w:val="0"/>
          <w:bCs/>
          <w:sz w:val="24"/>
          <w:szCs w:val="24"/>
        </w:rPr>
      </w:pPr>
      <w:bookmarkStart w:id="15" w:name="_Toc194467291"/>
      <w:r>
        <w:rPr>
          <w:rFonts w:hint="eastAsia" w:ascii="黑体" w:eastAsia="黑体"/>
          <w:b w:val="0"/>
          <w:bCs/>
          <w:sz w:val="24"/>
          <w:szCs w:val="24"/>
        </w:rPr>
        <w:t>七、项目实施方案</w:t>
      </w:r>
      <w:bookmarkEnd w:id="15"/>
    </w:p>
    <w:p>
      <w:pPr>
        <w:rPr>
          <w:szCs w:val="21"/>
        </w:rPr>
      </w:pPr>
      <w:r>
        <w:rPr>
          <w:rFonts w:hint="eastAsia"/>
          <w:szCs w:val="21"/>
        </w:rPr>
        <w:t>主要内容应包括：</w:t>
      </w:r>
    </w:p>
    <w:p>
      <w:pPr>
        <w:rPr>
          <w:szCs w:val="21"/>
        </w:rPr>
      </w:pPr>
      <w:r>
        <w:rPr>
          <w:rFonts w:hint="eastAsia"/>
          <w:szCs w:val="21"/>
        </w:rPr>
        <w:t>1、总体概述</w:t>
      </w:r>
    </w:p>
    <w:p>
      <w:pPr>
        <w:rPr>
          <w:szCs w:val="21"/>
        </w:rPr>
      </w:pPr>
      <w:r>
        <w:rPr>
          <w:rFonts w:hint="eastAsia"/>
          <w:szCs w:val="21"/>
        </w:rPr>
        <w:t>2、保证体系</w:t>
      </w:r>
    </w:p>
    <w:p>
      <w:pPr>
        <w:rPr>
          <w:szCs w:val="21"/>
        </w:rPr>
      </w:pPr>
      <w:r>
        <w:rPr>
          <w:rFonts w:hint="eastAsia"/>
          <w:szCs w:val="21"/>
        </w:rPr>
        <w:t>3、全运营保证体系的制造工艺水平、技术参数优劣、环保性、节能性等</w:t>
      </w:r>
    </w:p>
    <w:p>
      <w:pPr>
        <w:rPr>
          <w:szCs w:val="21"/>
        </w:rPr>
      </w:pPr>
      <w:r>
        <w:rPr>
          <w:rFonts w:hint="eastAsia"/>
          <w:szCs w:val="21"/>
        </w:rPr>
        <w:t>4、供货与实施进度表、安装工程进度计划（指含安装工程的货物）</w:t>
      </w:r>
    </w:p>
    <w:p>
      <w:pPr>
        <w:rPr>
          <w:szCs w:val="21"/>
        </w:rPr>
      </w:pPr>
    </w:p>
    <w:p/>
    <w:p>
      <w:pPr>
        <w:pStyle w:val="5"/>
        <w:spacing w:before="120" w:after="120"/>
        <w:jc w:val="center"/>
        <w:rPr>
          <w:rFonts w:ascii="黑体" w:eastAsia="黑体"/>
          <w:b w:val="0"/>
          <w:kern w:val="0"/>
          <w:sz w:val="24"/>
        </w:rPr>
      </w:pPr>
      <w:bookmarkStart w:id="16" w:name="_Toc194467286"/>
      <w:r>
        <w:rPr>
          <w:rFonts w:hint="eastAsia" w:ascii="黑体" w:eastAsia="黑体"/>
          <w:b w:val="0"/>
          <w:kern w:val="0"/>
          <w:sz w:val="24"/>
        </w:rPr>
        <w:t>八、</w:t>
      </w:r>
      <w:bookmarkEnd w:id="16"/>
      <w:r>
        <w:rPr>
          <w:rFonts w:hint="eastAsia" w:ascii="黑体" w:eastAsia="黑体"/>
          <w:b w:val="0"/>
          <w:kern w:val="0"/>
          <w:sz w:val="24"/>
        </w:rPr>
        <w:t>法定代表人（负责人）资格证明书</w:t>
      </w:r>
    </w:p>
    <w:p>
      <w:pPr>
        <w:rPr>
          <w:sz w:val="24"/>
        </w:rPr>
      </w:pPr>
    </w:p>
    <w:p>
      <w:pPr>
        <w:ind w:firstLine="420" w:firstLineChars="200"/>
        <w:rPr>
          <w:szCs w:val="21"/>
        </w:rPr>
      </w:pP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职务，为法定代表人（负责人），特此证明。</w:t>
      </w:r>
    </w:p>
    <w:p>
      <w:pPr>
        <w:ind w:firstLine="420" w:firstLineChars="200"/>
        <w:rPr>
          <w:szCs w:val="21"/>
        </w:rPr>
      </w:pPr>
    </w:p>
    <w:p>
      <w:pPr>
        <w:ind w:firstLine="420" w:firstLineChars="200"/>
        <w:rPr>
          <w:szCs w:val="21"/>
        </w:rPr>
      </w:pPr>
      <w:r>
        <w:rPr>
          <w:rFonts w:hint="eastAsia"/>
          <w:szCs w:val="21"/>
        </w:rPr>
        <w:t>投标供应商：</w:t>
      </w:r>
      <w:r>
        <w:rPr>
          <w:rFonts w:hint="eastAsia"/>
          <w:szCs w:val="21"/>
          <w:u w:val="single"/>
        </w:rPr>
        <w:t xml:space="preserve">                     </w:t>
      </w:r>
    </w:p>
    <w:p>
      <w:pPr>
        <w:ind w:firstLine="420" w:firstLineChars="200"/>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480" w:lineRule="exact"/>
        <w:rPr>
          <w:rFonts w:ascii="宋体" w:hAnsi="宋体"/>
          <w:b/>
          <w:color w:val="FF0000"/>
          <w:szCs w:val="21"/>
        </w:rPr>
      </w:pPr>
    </w:p>
    <w:p>
      <w:pPr>
        <w:spacing w:line="480" w:lineRule="exact"/>
        <w:rPr>
          <w:rFonts w:ascii="宋体" w:hAnsi="宋体"/>
          <w:b/>
          <w:color w:val="FF0000"/>
          <w:szCs w:val="21"/>
        </w:rPr>
      </w:pPr>
      <w:r>
        <w:rPr>
          <w:rFonts w:hint="eastAsia" w:ascii="宋体" w:hAnsi="宋体"/>
          <w:b/>
          <w:color w:val="FF0000"/>
          <w:szCs w:val="21"/>
        </w:rPr>
        <w:t>注：1、法定代表人为企业事业单位、国家机关、社会团体的主要行政负责人；</w:t>
      </w:r>
    </w:p>
    <w:p>
      <w:pPr>
        <w:spacing w:line="480" w:lineRule="exact"/>
        <w:rPr>
          <w:rFonts w:ascii="宋体" w:hAnsi="宋体"/>
          <w:b/>
          <w:color w:val="FF0000"/>
          <w:szCs w:val="21"/>
        </w:rPr>
      </w:pPr>
      <w:r>
        <w:rPr>
          <w:rFonts w:hint="eastAsia" w:ascii="宋体" w:hAnsi="宋体"/>
          <w:b/>
          <w:color w:val="FF0000"/>
          <w:szCs w:val="21"/>
        </w:rPr>
        <w:t xml:space="preserve">    2、本证明书要求供应商同时提供法定代表人的身份证扫描件（正反两面）作为附件方为有效；</w:t>
      </w:r>
    </w:p>
    <w:p>
      <w:pPr>
        <w:spacing w:line="480" w:lineRule="exact"/>
        <w:ind w:firstLine="413" w:firstLineChars="196"/>
        <w:rPr>
          <w:rFonts w:ascii="宋体" w:hAnsi="宋体"/>
          <w:b/>
          <w:color w:val="FF0000"/>
          <w:szCs w:val="21"/>
        </w:rPr>
      </w:pPr>
      <w:r>
        <w:rPr>
          <w:rFonts w:hint="eastAsia" w:ascii="宋体" w:hAnsi="宋体"/>
          <w:b/>
          <w:color w:val="FF0000"/>
          <w:szCs w:val="21"/>
        </w:rPr>
        <w:t>3、如是法定代表人直接参与投标，则不用填写《投标文件签署授权委托书》，但必须注明是法定代表人参与投标和附上联系电话。</w:t>
      </w:r>
    </w:p>
    <w:p>
      <w:pPr>
        <w:pStyle w:val="5"/>
        <w:jc w:val="center"/>
        <w:rPr>
          <w:b w:val="0"/>
          <w:bCs/>
          <w:sz w:val="24"/>
        </w:rPr>
      </w:pPr>
    </w:p>
    <w:p>
      <w:pPr>
        <w:pStyle w:val="5"/>
        <w:spacing w:before="120" w:after="120"/>
        <w:jc w:val="center"/>
        <w:rPr>
          <w:rFonts w:ascii="黑体" w:eastAsia="黑体"/>
          <w:b w:val="0"/>
          <w:kern w:val="0"/>
          <w:sz w:val="24"/>
        </w:rPr>
      </w:pPr>
      <w:bookmarkStart w:id="17" w:name="_Toc194467287"/>
      <w:r>
        <w:rPr>
          <w:rFonts w:hint="eastAsia" w:ascii="黑体" w:eastAsia="黑体"/>
          <w:b w:val="0"/>
          <w:kern w:val="0"/>
          <w:sz w:val="24"/>
        </w:rPr>
        <w:t>九、</w:t>
      </w:r>
      <w:bookmarkEnd w:id="17"/>
      <w:r>
        <w:rPr>
          <w:rFonts w:hint="eastAsia" w:ascii="黑体" w:eastAsia="黑体"/>
          <w:b w:val="0"/>
          <w:kern w:val="0"/>
          <w:sz w:val="24"/>
        </w:rPr>
        <w:t>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（投标供应商名称）的法定代表人（负责人），现授权委托</w:t>
      </w:r>
      <w:r>
        <w:rPr>
          <w:rFonts w:hint="eastAsia"/>
          <w:szCs w:val="21"/>
          <w:u w:val="single"/>
        </w:rPr>
        <w:t xml:space="preserve">            </w:t>
      </w:r>
      <w:r>
        <w:rPr>
          <w:rFonts w:hint="eastAsia"/>
          <w:szCs w:val="21"/>
        </w:rPr>
        <w:t>（姓名）为我公司签署本项目已递交的投标文件的法定代表人的授权委托代理人，代理人全权代表我所签署的本项目已递交的投标文件内容我均认可。</w:t>
      </w:r>
    </w:p>
    <w:p>
      <w:pPr>
        <w:pStyle w:val="10"/>
        <w:spacing w:line="360" w:lineRule="auto"/>
        <w:rPr>
          <w:szCs w:val="21"/>
        </w:rPr>
      </w:pPr>
      <w:r>
        <w:rPr>
          <w:rFonts w:hint="eastAsia"/>
          <w:szCs w:val="21"/>
        </w:rPr>
        <w:t>代理人无转委托权，特此委托。</w:t>
      </w:r>
    </w:p>
    <w:p>
      <w:pPr>
        <w:rPr>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pacing w:line="480" w:lineRule="exact"/>
        <w:ind w:firstLine="420" w:firstLineChars="200"/>
        <w:rPr>
          <w:rFonts w:ascii="宋体" w:hAnsi="宋体"/>
          <w:b/>
          <w:color w:val="FF0000"/>
          <w:szCs w:val="21"/>
        </w:rPr>
      </w:pPr>
      <w:r>
        <w:rPr>
          <w:rFonts w:hint="eastAsia" w:ascii="宋体" w:hAnsi="宋体"/>
          <w:szCs w:val="21"/>
        </w:rPr>
        <w:t xml:space="preserve"> </w:t>
      </w:r>
      <w:r>
        <w:rPr>
          <w:rFonts w:hint="eastAsia" w:ascii="宋体" w:hAnsi="宋体"/>
          <w:b/>
          <w:color w:val="FF0000"/>
          <w:szCs w:val="21"/>
        </w:rPr>
        <w:t>注：本证明书须提供代理人的身份证扫描件（正反两面）方为有效。</w:t>
      </w:r>
    </w:p>
    <w:p/>
    <w:p>
      <w:pPr>
        <w:pStyle w:val="5"/>
        <w:spacing w:before="120" w:after="120"/>
        <w:jc w:val="center"/>
        <w:rPr>
          <w:rFonts w:ascii="黑体" w:eastAsia="黑体"/>
          <w:b w:val="0"/>
          <w:kern w:val="0"/>
          <w:sz w:val="24"/>
        </w:rPr>
      </w:pPr>
      <w:r>
        <w:rPr>
          <w:rFonts w:hint="eastAsia" w:ascii="黑体" w:eastAsia="黑体"/>
          <w:b w:val="0"/>
          <w:kern w:val="0"/>
          <w:sz w:val="24"/>
        </w:rPr>
        <w:t>十、供应商认为需要加以说明的其他内容</w:t>
      </w:r>
    </w:p>
    <w:p>
      <w:pPr>
        <w:rPr>
          <w:b/>
          <w:color w:val="FF0000"/>
          <w:sz w:val="24"/>
        </w:rPr>
      </w:pPr>
    </w:p>
    <w:p>
      <w:pPr>
        <w:rPr>
          <w:sz w:val="24"/>
        </w:rPr>
      </w:pPr>
    </w:p>
    <w:p>
      <w:pPr>
        <w:rPr>
          <w:sz w:val="24"/>
        </w:rPr>
      </w:pPr>
    </w:p>
    <w:p>
      <w:pPr>
        <w:rPr>
          <w:sz w:val="24"/>
        </w:rPr>
      </w:pPr>
    </w:p>
    <w:p>
      <w:pPr>
        <w:rPr>
          <w:sz w:val="24"/>
        </w:rPr>
      </w:pPr>
    </w:p>
    <w:p>
      <w:pPr>
        <w:rPr>
          <w:sz w:val="24"/>
        </w:rPr>
      </w:pPr>
    </w:p>
    <w:p>
      <w:pPr>
        <w:pStyle w:val="5"/>
        <w:jc w:val="center"/>
        <w:rPr>
          <w:rFonts w:ascii="黑体" w:eastAsia="黑体"/>
          <w:b w:val="0"/>
          <w:kern w:val="0"/>
          <w:sz w:val="24"/>
        </w:rPr>
      </w:pPr>
      <w:r>
        <w:rPr>
          <w:rFonts w:hint="eastAsia" w:ascii="黑体" w:eastAsia="黑体"/>
          <w:b w:val="0"/>
          <w:kern w:val="0"/>
          <w:sz w:val="24"/>
        </w:rPr>
        <w:t>第二部分 应答文件附件</w:t>
      </w:r>
    </w:p>
    <w:p>
      <w:r>
        <w:t>一</w:t>
      </w:r>
      <w:r>
        <w:rPr>
          <w:rFonts w:hint="eastAsia"/>
        </w:rPr>
        <w:t>、</w:t>
      </w:r>
      <w:r>
        <w:t>开标一览表</w:t>
      </w:r>
    </w:p>
    <w:tbl>
      <w:tblPr>
        <w:tblStyle w:val="41"/>
        <w:tblW w:w="775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1219"/>
        <w:gridCol w:w="1435"/>
        <w:gridCol w:w="1467"/>
        <w:gridCol w:w="1559"/>
        <w:gridCol w:w="992"/>
        <w:gridCol w:w="10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757" w:type="dxa"/>
            <w:gridSpan w:val="6"/>
            <w:tcBorders>
              <w:top w:val="single" w:color="auto" w:sz="4" w:space="0"/>
              <w:left w:val="single" w:color="auto" w:sz="4" w:space="0"/>
              <w:bottom w:val="single" w:color="auto" w:sz="4" w:space="0"/>
              <w:right w:val="single" w:color="auto" w:sz="4" w:space="0"/>
            </w:tcBorders>
          </w:tcPr>
          <w:p>
            <w:pPr>
              <w:jc w:val="center"/>
            </w:pPr>
            <w:r>
              <w:rPr>
                <w:rFonts w:hint="eastAsia"/>
              </w:rPr>
              <w:t>开标一览表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4121" w:type="dxa"/>
            <w:gridSpan w:val="3"/>
            <w:tcBorders>
              <w:top w:val="single" w:color="auto" w:sz="4" w:space="0"/>
              <w:left w:val="single" w:color="auto" w:sz="4" w:space="0"/>
              <w:bottom w:val="single" w:color="auto" w:sz="4" w:space="0"/>
              <w:right w:val="nil"/>
            </w:tcBorders>
          </w:tcPr>
          <w:p>
            <w:pPr>
              <w:jc w:val="center"/>
            </w:pPr>
            <w:r>
              <w:rPr>
                <w:rFonts w:hint="eastAsia"/>
              </w:rPr>
              <w:t>项目名称：</w:t>
            </w:r>
          </w:p>
        </w:tc>
        <w:tc>
          <w:tcPr>
            <w:tcW w:w="3636" w:type="dxa"/>
            <w:gridSpan w:val="3"/>
            <w:tcBorders>
              <w:top w:val="single" w:color="auto" w:sz="4" w:space="0"/>
              <w:left w:val="nil"/>
              <w:bottom w:val="single" w:color="auto" w:sz="4" w:space="0"/>
              <w:right w:val="single" w:color="auto" w:sz="4" w:space="0"/>
            </w:tcBorders>
          </w:tcPr>
          <w:p>
            <w:pPr>
              <w:jc w:val="center"/>
            </w:pPr>
            <w:r>
              <w:rPr>
                <w:rFonts w:hint="eastAsia"/>
              </w:rPr>
              <w:t>交货期：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1219" w:type="dxa"/>
            <w:tcBorders>
              <w:top w:val="single" w:color="auto" w:sz="4" w:space="0"/>
              <w:left w:val="single" w:color="000000" w:sz="8" w:space="0"/>
              <w:bottom w:val="single" w:color="000000" w:sz="8" w:space="0"/>
              <w:right w:val="single" w:color="000000" w:sz="8" w:space="0"/>
            </w:tcBorders>
          </w:tcPr>
          <w:p>
            <w:pPr>
              <w:jc w:val="center"/>
            </w:pPr>
            <w:r>
              <w:rPr>
                <w:rFonts w:hint="eastAsia"/>
              </w:rPr>
              <w:t>序号</w:t>
            </w:r>
          </w:p>
        </w:tc>
        <w:tc>
          <w:tcPr>
            <w:tcW w:w="1435" w:type="dxa"/>
            <w:tcBorders>
              <w:top w:val="single" w:color="auto" w:sz="4" w:space="0"/>
              <w:left w:val="single" w:color="000000" w:sz="8" w:space="0"/>
              <w:bottom w:val="single" w:color="000000" w:sz="8" w:space="0"/>
              <w:right w:val="single" w:color="000000" w:sz="8" w:space="0"/>
            </w:tcBorders>
          </w:tcPr>
          <w:p>
            <w:pPr>
              <w:jc w:val="center"/>
            </w:pPr>
            <w:r>
              <w:rPr>
                <w:rFonts w:hint="eastAsia"/>
              </w:rPr>
              <w:t>货物名称</w:t>
            </w:r>
          </w:p>
        </w:tc>
        <w:tc>
          <w:tcPr>
            <w:tcW w:w="1467" w:type="dxa"/>
            <w:tcBorders>
              <w:top w:val="single" w:color="auto" w:sz="4" w:space="0"/>
              <w:left w:val="single" w:color="000000" w:sz="8" w:space="0"/>
              <w:bottom w:val="single" w:color="000000" w:sz="8" w:space="0"/>
              <w:right w:val="single" w:color="auto" w:sz="4" w:space="0"/>
            </w:tcBorders>
          </w:tcPr>
          <w:p>
            <w:pPr>
              <w:jc w:val="center"/>
            </w:pPr>
            <w:r>
              <w:t>品牌型号及规格</w:t>
            </w:r>
          </w:p>
        </w:tc>
        <w:tc>
          <w:tcPr>
            <w:tcW w:w="1559" w:type="dxa"/>
            <w:tcBorders>
              <w:top w:val="nil"/>
              <w:left w:val="single" w:color="auto" w:sz="4" w:space="0"/>
              <w:bottom w:val="single" w:color="000000" w:sz="8" w:space="0"/>
              <w:right w:val="single" w:color="auto" w:sz="4" w:space="0"/>
            </w:tcBorders>
          </w:tcPr>
          <w:p>
            <w:pPr>
              <w:jc w:val="center"/>
            </w:pPr>
            <w:r>
              <w:t>是否医疗器械</w:t>
            </w:r>
          </w:p>
        </w:tc>
        <w:tc>
          <w:tcPr>
            <w:tcW w:w="992" w:type="dxa"/>
            <w:tcBorders>
              <w:top w:val="nil"/>
              <w:left w:val="single" w:color="auto" w:sz="4" w:space="0"/>
              <w:bottom w:val="single" w:color="000000" w:sz="8" w:space="0"/>
              <w:right w:val="single" w:color="auto" w:sz="4" w:space="0"/>
            </w:tcBorders>
          </w:tcPr>
          <w:p>
            <w:pPr>
              <w:jc w:val="center"/>
            </w:pPr>
            <w:r>
              <w:t>几类医疗器械</w:t>
            </w:r>
          </w:p>
        </w:tc>
        <w:tc>
          <w:tcPr>
            <w:tcW w:w="1085" w:type="dxa"/>
            <w:tcBorders>
              <w:top w:val="nil"/>
              <w:left w:val="single" w:color="auto" w:sz="4" w:space="0"/>
              <w:bottom w:val="single" w:color="000000" w:sz="8" w:space="0"/>
              <w:right w:val="single" w:color="000000" w:sz="8" w:space="0"/>
            </w:tcBorders>
          </w:tcPr>
          <w:p>
            <w:pPr>
              <w:jc w:val="center"/>
            </w:pPr>
            <w: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1219" w:type="dxa"/>
            <w:tcBorders>
              <w:top w:val="single" w:color="000000" w:sz="8" w:space="0"/>
              <w:left w:val="single" w:color="000000" w:sz="8" w:space="0"/>
              <w:bottom w:val="single" w:color="000000" w:sz="8" w:space="0"/>
              <w:right w:val="single" w:color="000000" w:sz="8" w:space="0"/>
            </w:tcBorders>
          </w:tcPr>
          <w:p>
            <w:pPr>
              <w:jc w:val="center"/>
            </w:pPr>
          </w:p>
        </w:tc>
        <w:tc>
          <w:tcPr>
            <w:tcW w:w="1435" w:type="dxa"/>
            <w:tcBorders>
              <w:top w:val="single" w:color="000000" w:sz="8" w:space="0"/>
              <w:left w:val="single" w:color="000000" w:sz="8" w:space="0"/>
              <w:bottom w:val="single" w:color="000000" w:sz="8" w:space="0"/>
              <w:right w:val="single" w:color="000000" w:sz="8" w:space="0"/>
            </w:tcBorders>
          </w:tcPr>
          <w:p>
            <w:pPr>
              <w:jc w:val="center"/>
            </w:pPr>
          </w:p>
        </w:tc>
        <w:tc>
          <w:tcPr>
            <w:tcW w:w="1467" w:type="dxa"/>
            <w:tcBorders>
              <w:top w:val="single" w:color="000000" w:sz="8" w:space="0"/>
              <w:left w:val="single" w:color="000000" w:sz="8" w:space="0"/>
              <w:bottom w:val="single" w:color="000000" w:sz="8" w:space="0"/>
              <w:right w:val="single" w:color="auto" w:sz="4" w:space="0"/>
            </w:tcBorders>
          </w:tcPr>
          <w:p>
            <w:pPr>
              <w:jc w:val="center"/>
            </w:pPr>
          </w:p>
        </w:tc>
        <w:tc>
          <w:tcPr>
            <w:tcW w:w="1559" w:type="dxa"/>
            <w:tcBorders>
              <w:top w:val="single" w:color="000000" w:sz="8" w:space="0"/>
              <w:left w:val="single" w:color="auto" w:sz="4" w:space="0"/>
              <w:bottom w:val="single" w:color="000000" w:sz="8" w:space="0"/>
              <w:right w:val="single" w:color="auto" w:sz="4" w:space="0"/>
            </w:tcBorders>
          </w:tcPr>
          <w:p>
            <w:pPr>
              <w:jc w:val="center"/>
            </w:pPr>
          </w:p>
        </w:tc>
        <w:tc>
          <w:tcPr>
            <w:tcW w:w="992" w:type="dxa"/>
            <w:tcBorders>
              <w:top w:val="single" w:color="000000" w:sz="8" w:space="0"/>
              <w:left w:val="single" w:color="auto" w:sz="4" w:space="0"/>
              <w:bottom w:val="single" w:color="000000" w:sz="8" w:space="0"/>
              <w:right w:val="single" w:color="auto" w:sz="4" w:space="0"/>
            </w:tcBorders>
          </w:tcPr>
          <w:p>
            <w:pPr>
              <w:jc w:val="center"/>
            </w:pPr>
          </w:p>
        </w:tc>
        <w:tc>
          <w:tcPr>
            <w:tcW w:w="1085" w:type="dxa"/>
            <w:tcBorders>
              <w:top w:val="single" w:color="000000" w:sz="8" w:space="0"/>
              <w:left w:val="single" w:color="auto" w:sz="4" w:space="0"/>
              <w:bottom w:val="single" w:color="000000" w:sz="8" w:space="0"/>
              <w:right w:val="single" w:color="000000"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1219" w:type="dxa"/>
            <w:tcBorders>
              <w:top w:val="single" w:color="000000" w:sz="8" w:space="0"/>
              <w:left w:val="single" w:color="000000" w:sz="8" w:space="0"/>
              <w:bottom w:val="single" w:color="000000" w:sz="8" w:space="0"/>
              <w:right w:val="single" w:color="000000" w:sz="8" w:space="0"/>
            </w:tcBorders>
          </w:tcPr>
          <w:p>
            <w:pPr>
              <w:jc w:val="center"/>
            </w:pPr>
          </w:p>
        </w:tc>
        <w:tc>
          <w:tcPr>
            <w:tcW w:w="1435" w:type="dxa"/>
            <w:tcBorders>
              <w:top w:val="single" w:color="000000" w:sz="8" w:space="0"/>
              <w:left w:val="single" w:color="000000" w:sz="8" w:space="0"/>
              <w:bottom w:val="single" w:color="000000" w:sz="8" w:space="0"/>
              <w:right w:val="single" w:color="000000" w:sz="8" w:space="0"/>
            </w:tcBorders>
          </w:tcPr>
          <w:p>
            <w:pPr>
              <w:jc w:val="center"/>
            </w:pPr>
          </w:p>
        </w:tc>
        <w:tc>
          <w:tcPr>
            <w:tcW w:w="1467" w:type="dxa"/>
            <w:tcBorders>
              <w:top w:val="single" w:color="000000" w:sz="8" w:space="0"/>
              <w:left w:val="single" w:color="000000" w:sz="8" w:space="0"/>
              <w:bottom w:val="single" w:color="000000" w:sz="8" w:space="0"/>
              <w:right w:val="single" w:color="auto" w:sz="4" w:space="0"/>
            </w:tcBorders>
          </w:tcPr>
          <w:p>
            <w:pPr>
              <w:jc w:val="center"/>
            </w:pPr>
          </w:p>
        </w:tc>
        <w:tc>
          <w:tcPr>
            <w:tcW w:w="1559" w:type="dxa"/>
            <w:tcBorders>
              <w:top w:val="single" w:color="000000" w:sz="8" w:space="0"/>
              <w:left w:val="single" w:color="auto" w:sz="4" w:space="0"/>
              <w:bottom w:val="single" w:color="000000" w:sz="8" w:space="0"/>
              <w:right w:val="single" w:color="auto" w:sz="4" w:space="0"/>
            </w:tcBorders>
          </w:tcPr>
          <w:p>
            <w:pPr>
              <w:jc w:val="center"/>
            </w:pPr>
          </w:p>
        </w:tc>
        <w:tc>
          <w:tcPr>
            <w:tcW w:w="992" w:type="dxa"/>
            <w:tcBorders>
              <w:top w:val="single" w:color="000000" w:sz="8" w:space="0"/>
              <w:left w:val="single" w:color="auto" w:sz="4" w:space="0"/>
              <w:bottom w:val="single" w:color="000000" w:sz="8" w:space="0"/>
              <w:right w:val="single" w:color="auto" w:sz="4" w:space="0"/>
            </w:tcBorders>
          </w:tcPr>
          <w:p>
            <w:pPr>
              <w:jc w:val="center"/>
            </w:pPr>
          </w:p>
        </w:tc>
        <w:tc>
          <w:tcPr>
            <w:tcW w:w="1085" w:type="dxa"/>
            <w:tcBorders>
              <w:top w:val="single" w:color="000000" w:sz="8" w:space="0"/>
              <w:left w:val="single" w:color="auto" w:sz="4" w:space="0"/>
              <w:bottom w:val="single" w:color="000000" w:sz="8" w:space="0"/>
              <w:right w:val="single" w:color="000000"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1219" w:type="dxa"/>
            <w:tcBorders>
              <w:top w:val="single" w:color="000000" w:sz="8" w:space="0"/>
              <w:left w:val="single" w:color="000000" w:sz="8" w:space="0"/>
              <w:bottom w:val="single" w:color="000000" w:sz="8" w:space="0"/>
              <w:right w:val="single" w:color="000000" w:sz="8" w:space="0"/>
            </w:tcBorders>
          </w:tcPr>
          <w:p>
            <w:pPr>
              <w:jc w:val="center"/>
            </w:pPr>
          </w:p>
        </w:tc>
        <w:tc>
          <w:tcPr>
            <w:tcW w:w="1435" w:type="dxa"/>
            <w:tcBorders>
              <w:top w:val="single" w:color="000000" w:sz="8" w:space="0"/>
              <w:left w:val="single" w:color="000000" w:sz="8" w:space="0"/>
              <w:bottom w:val="single" w:color="000000" w:sz="8" w:space="0"/>
              <w:right w:val="single" w:color="000000" w:sz="8" w:space="0"/>
            </w:tcBorders>
          </w:tcPr>
          <w:p>
            <w:pPr>
              <w:jc w:val="center"/>
            </w:pPr>
          </w:p>
        </w:tc>
        <w:tc>
          <w:tcPr>
            <w:tcW w:w="1467" w:type="dxa"/>
            <w:tcBorders>
              <w:top w:val="single" w:color="000000" w:sz="8" w:space="0"/>
              <w:left w:val="single" w:color="000000" w:sz="8" w:space="0"/>
              <w:bottom w:val="single" w:color="000000" w:sz="8" w:space="0"/>
              <w:right w:val="single" w:color="auto" w:sz="4" w:space="0"/>
            </w:tcBorders>
          </w:tcPr>
          <w:p>
            <w:pPr>
              <w:jc w:val="center"/>
            </w:pPr>
          </w:p>
        </w:tc>
        <w:tc>
          <w:tcPr>
            <w:tcW w:w="1559" w:type="dxa"/>
            <w:tcBorders>
              <w:top w:val="single" w:color="000000" w:sz="8" w:space="0"/>
              <w:left w:val="single" w:color="auto" w:sz="4" w:space="0"/>
              <w:bottom w:val="single" w:color="000000" w:sz="8" w:space="0"/>
              <w:right w:val="single" w:color="auto" w:sz="4" w:space="0"/>
            </w:tcBorders>
          </w:tcPr>
          <w:p>
            <w:pPr>
              <w:jc w:val="center"/>
            </w:pPr>
          </w:p>
        </w:tc>
        <w:tc>
          <w:tcPr>
            <w:tcW w:w="992" w:type="dxa"/>
            <w:tcBorders>
              <w:top w:val="single" w:color="000000" w:sz="8" w:space="0"/>
              <w:left w:val="single" w:color="auto" w:sz="4" w:space="0"/>
              <w:bottom w:val="single" w:color="000000" w:sz="8" w:space="0"/>
              <w:right w:val="single" w:color="auto" w:sz="4" w:space="0"/>
            </w:tcBorders>
          </w:tcPr>
          <w:p>
            <w:pPr>
              <w:jc w:val="center"/>
            </w:pPr>
          </w:p>
        </w:tc>
        <w:tc>
          <w:tcPr>
            <w:tcW w:w="1085" w:type="dxa"/>
            <w:tcBorders>
              <w:top w:val="single" w:color="000000" w:sz="8" w:space="0"/>
              <w:left w:val="single" w:color="auto" w:sz="4" w:space="0"/>
              <w:bottom w:val="single" w:color="000000" w:sz="8" w:space="0"/>
              <w:right w:val="single" w:color="000000"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1219" w:type="dxa"/>
            <w:tcBorders>
              <w:top w:val="single" w:color="000000" w:sz="8" w:space="0"/>
              <w:left w:val="single" w:color="000000" w:sz="8" w:space="0"/>
              <w:bottom w:val="single" w:color="000000" w:sz="8" w:space="0"/>
              <w:right w:val="single" w:color="000000" w:sz="8" w:space="0"/>
            </w:tcBorders>
          </w:tcPr>
          <w:p>
            <w:pPr>
              <w:jc w:val="center"/>
            </w:pPr>
          </w:p>
        </w:tc>
        <w:tc>
          <w:tcPr>
            <w:tcW w:w="1435" w:type="dxa"/>
            <w:tcBorders>
              <w:top w:val="single" w:color="000000" w:sz="8" w:space="0"/>
              <w:left w:val="single" w:color="000000" w:sz="8" w:space="0"/>
              <w:bottom w:val="single" w:color="000000" w:sz="8" w:space="0"/>
              <w:right w:val="single" w:color="000000" w:sz="8" w:space="0"/>
            </w:tcBorders>
          </w:tcPr>
          <w:p>
            <w:pPr>
              <w:jc w:val="center"/>
            </w:pPr>
          </w:p>
        </w:tc>
        <w:tc>
          <w:tcPr>
            <w:tcW w:w="1467" w:type="dxa"/>
            <w:tcBorders>
              <w:top w:val="single" w:color="000000" w:sz="8" w:space="0"/>
              <w:left w:val="single" w:color="000000" w:sz="8" w:space="0"/>
              <w:bottom w:val="single" w:color="000000" w:sz="8" w:space="0"/>
              <w:right w:val="single" w:color="auto" w:sz="4" w:space="0"/>
            </w:tcBorders>
          </w:tcPr>
          <w:p>
            <w:pPr>
              <w:jc w:val="center"/>
            </w:pPr>
          </w:p>
        </w:tc>
        <w:tc>
          <w:tcPr>
            <w:tcW w:w="1559" w:type="dxa"/>
            <w:tcBorders>
              <w:top w:val="single" w:color="000000" w:sz="8" w:space="0"/>
              <w:left w:val="single" w:color="auto" w:sz="4" w:space="0"/>
              <w:bottom w:val="single" w:color="000000" w:sz="8" w:space="0"/>
              <w:right w:val="single" w:color="auto" w:sz="4" w:space="0"/>
            </w:tcBorders>
          </w:tcPr>
          <w:p>
            <w:pPr>
              <w:jc w:val="center"/>
            </w:pPr>
          </w:p>
        </w:tc>
        <w:tc>
          <w:tcPr>
            <w:tcW w:w="992" w:type="dxa"/>
            <w:tcBorders>
              <w:top w:val="single" w:color="000000" w:sz="8" w:space="0"/>
              <w:left w:val="single" w:color="auto" w:sz="4" w:space="0"/>
              <w:bottom w:val="single" w:color="000000" w:sz="8" w:space="0"/>
              <w:right w:val="single" w:color="auto" w:sz="4" w:space="0"/>
            </w:tcBorders>
          </w:tcPr>
          <w:p>
            <w:pPr>
              <w:jc w:val="center"/>
            </w:pPr>
          </w:p>
        </w:tc>
        <w:tc>
          <w:tcPr>
            <w:tcW w:w="1085" w:type="dxa"/>
            <w:tcBorders>
              <w:top w:val="single" w:color="000000" w:sz="8" w:space="0"/>
              <w:left w:val="single" w:color="auto" w:sz="4" w:space="0"/>
              <w:bottom w:val="single" w:color="000000" w:sz="8" w:space="0"/>
              <w:right w:val="single" w:color="000000"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1219" w:type="dxa"/>
            <w:tcBorders>
              <w:top w:val="single" w:color="000000" w:sz="8" w:space="0"/>
              <w:left w:val="single" w:color="000000" w:sz="8" w:space="0"/>
              <w:bottom w:val="single" w:color="000000" w:sz="8" w:space="0"/>
              <w:right w:val="single" w:color="000000" w:sz="8" w:space="0"/>
            </w:tcBorders>
          </w:tcPr>
          <w:p>
            <w:pPr>
              <w:jc w:val="center"/>
            </w:pPr>
          </w:p>
        </w:tc>
        <w:tc>
          <w:tcPr>
            <w:tcW w:w="1435" w:type="dxa"/>
            <w:tcBorders>
              <w:top w:val="single" w:color="000000" w:sz="8" w:space="0"/>
              <w:left w:val="single" w:color="000000" w:sz="8" w:space="0"/>
              <w:bottom w:val="single" w:color="000000" w:sz="8" w:space="0"/>
              <w:right w:val="single" w:color="000000" w:sz="8" w:space="0"/>
            </w:tcBorders>
          </w:tcPr>
          <w:p>
            <w:pPr>
              <w:jc w:val="center"/>
            </w:pPr>
          </w:p>
        </w:tc>
        <w:tc>
          <w:tcPr>
            <w:tcW w:w="1467" w:type="dxa"/>
            <w:tcBorders>
              <w:top w:val="single" w:color="000000" w:sz="8" w:space="0"/>
              <w:left w:val="single" w:color="000000" w:sz="8" w:space="0"/>
              <w:bottom w:val="single" w:color="000000" w:sz="8" w:space="0"/>
              <w:right w:val="single" w:color="auto" w:sz="4" w:space="0"/>
            </w:tcBorders>
          </w:tcPr>
          <w:p>
            <w:pPr>
              <w:jc w:val="center"/>
            </w:pPr>
          </w:p>
        </w:tc>
        <w:tc>
          <w:tcPr>
            <w:tcW w:w="1559" w:type="dxa"/>
            <w:tcBorders>
              <w:top w:val="single" w:color="000000" w:sz="8" w:space="0"/>
              <w:left w:val="single" w:color="auto" w:sz="4" w:space="0"/>
              <w:bottom w:val="single" w:color="000000" w:sz="8" w:space="0"/>
              <w:right w:val="single" w:color="auto" w:sz="4" w:space="0"/>
            </w:tcBorders>
          </w:tcPr>
          <w:p>
            <w:pPr>
              <w:jc w:val="center"/>
            </w:pPr>
          </w:p>
        </w:tc>
        <w:tc>
          <w:tcPr>
            <w:tcW w:w="992" w:type="dxa"/>
            <w:tcBorders>
              <w:top w:val="single" w:color="000000" w:sz="8" w:space="0"/>
              <w:left w:val="single" w:color="auto" w:sz="4" w:space="0"/>
              <w:bottom w:val="single" w:color="000000" w:sz="8" w:space="0"/>
              <w:right w:val="single" w:color="auto" w:sz="4" w:space="0"/>
            </w:tcBorders>
          </w:tcPr>
          <w:p>
            <w:pPr>
              <w:jc w:val="center"/>
            </w:pPr>
          </w:p>
        </w:tc>
        <w:tc>
          <w:tcPr>
            <w:tcW w:w="1085" w:type="dxa"/>
            <w:tcBorders>
              <w:top w:val="single" w:color="000000" w:sz="8" w:space="0"/>
              <w:left w:val="single" w:color="auto" w:sz="4" w:space="0"/>
              <w:bottom w:val="single" w:color="000000" w:sz="8" w:space="0"/>
              <w:right w:val="single" w:color="000000"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1219" w:type="dxa"/>
            <w:tcBorders>
              <w:top w:val="single" w:color="000000" w:sz="8" w:space="0"/>
              <w:left w:val="single" w:color="000000" w:sz="8" w:space="0"/>
              <w:bottom w:val="single" w:color="000000" w:sz="8" w:space="0"/>
              <w:right w:val="single" w:color="000000" w:sz="8" w:space="0"/>
            </w:tcBorders>
          </w:tcPr>
          <w:p>
            <w:pPr>
              <w:jc w:val="center"/>
            </w:pPr>
          </w:p>
        </w:tc>
        <w:tc>
          <w:tcPr>
            <w:tcW w:w="1435" w:type="dxa"/>
            <w:tcBorders>
              <w:top w:val="single" w:color="000000" w:sz="8" w:space="0"/>
              <w:left w:val="single" w:color="000000" w:sz="8" w:space="0"/>
              <w:bottom w:val="single" w:color="000000" w:sz="8" w:space="0"/>
              <w:right w:val="single" w:color="000000" w:sz="8" w:space="0"/>
            </w:tcBorders>
          </w:tcPr>
          <w:p>
            <w:pPr>
              <w:jc w:val="center"/>
            </w:pPr>
          </w:p>
        </w:tc>
        <w:tc>
          <w:tcPr>
            <w:tcW w:w="1467" w:type="dxa"/>
            <w:tcBorders>
              <w:top w:val="single" w:color="000000" w:sz="8" w:space="0"/>
              <w:left w:val="single" w:color="000000" w:sz="8" w:space="0"/>
              <w:bottom w:val="single" w:color="000000" w:sz="8" w:space="0"/>
              <w:right w:val="single" w:color="auto" w:sz="4" w:space="0"/>
            </w:tcBorders>
          </w:tcPr>
          <w:p>
            <w:pPr>
              <w:jc w:val="center"/>
            </w:pPr>
          </w:p>
        </w:tc>
        <w:tc>
          <w:tcPr>
            <w:tcW w:w="1559" w:type="dxa"/>
            <w:tcBorders>
              <w:top w:val="single" w:color="000000" w:sz="8" w:space="0"/>
              <w:left w:val="single" w:color="auto" w:sz="4" w:space="0"/>
              <w:bottom w:val="single" w:color="000000" w:sz="8" w:space="0"/>
              <w:right w:val="single" w:color="auto" w:sz="4" w:space="0"/>
            </w:tcBorders>
          </w:tcPr>
          <w:p>
            <w:pPr>
              <w:jc w:val="center"/>
            </w:pPr>
          </w:p>
        </w:tc>
        <w:tc>
          <w:tcPr>
            <w:tcW w:w="992" w:type="dxa"/>
            <w:tcBorders>
              <w:top w:val="single" w:color="000000" w:sz="8" w:space="0"/>
              <w:left w:val="single" w:color="auto" w:sz="4" w:space="0"/>
              <w:bottom w:val="single" w:color="000000" w:sz="8" w:space="0"/>
              <w:right w:val="single" w:color="auto" w:sz="4" w:space="0"/>
            </w:tcBorders>
          </w:tcPr>
          <w:p>
            <w:pPr>
              <w:jc w:val="center"/>
            </w:pPr>
          </w:p>
        </w:tc>
        <w:tc>
          <w:tcPr>
            <w:tcW w:w="1085" w:type="dxa"/>
            <w:tcBorders>
              <w:top w:val="single" w:color="000000" w:sz="8" w:space="0"/>
              <w:left w:val="single" w:color="auto" w:sz="4" w:space="0"/>
              <w:bottom w:val="single" w:color="000000" w:sz="8" w:space="0"/>
              <w:right w:val="single" w:color="000000"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1219" w:type="dxa"/>
            <w:tcBorders>
              <w:top w:val="single" w:color="000000" w:sz="8" w:space="0"/>
              <w:left w:val="single" w:color="000000" w:sz="8" w:space="0"/>
              <w:bottom w:val="single" w:color="000000" w:sz="8" w:space="0"/>
              <w:right w:val="single" w:color="000000" w:sz="8" w:space="0"/>
            </w:tcBorders>
          </w:tcPr>
          <w:p>
            <w:pPr>
              <w:jc w:val="center"/>
            </w:pPr>
          </w:p>
        </w:tc>
        <w:tc>
          <w:tcPr>
            <w:tcW w:w="1435" w:type="dxa"/>
            <w:tcBorders>
              <w:top w:val="single" w:color="000000" w:sz="8" w:space="0"/>
              <w:left w:val="single" w:color="000000" w:sz="8" w:space="0"/>
              <w:bottom w:val="single" w:color="000000" w:sz="8" w:space="0"/>
              <w:right w:val="single" w:color="000000" w:sz="8" w:space="0"/>
            </w:tcBorders>
          </w:tcPr>
          <w:p>
            <w:pPr>
              <w:jc w:val="center"/>
            </w:pPr>
          </w:p>
        </w:tc>
        <w:tc>
          <w:tcPr>
            <w:tcW w:w="1467" w:type="dxa"/>
            <w:tcBorders>
              <w:top w:val="single" w:color="000000" w:sz="8" w:space="0"/>
              <w:left w:val="single" w:color="000000" w:sz="8" w:space="0"/>
              <w:bottom w:val="single" w:color="000000" w:sz="8" w:space="0"/>
              <w:right w:val="single" w:color="auto" w:sz="4" w:space="0"/>
            </w:tcBorders>
          </w:tcPr>
          <w:p>
            <w:pPr>
              <w:jc w:val="center"/>
            </w:pPr>
          </w:p>
        </w:tc>
        <w:tc>
          <w:tcPr>
            <w:tcW w:w="1559" w:type="dxa"/>
            <w:tcBorders>
              <w:top w:val="single" w:color="000000" w:sz="8" w:space="0"/>
              <w:left w:val="single" w:color="auto" w:sz="4" w:space="0"/>
              <w:bottom w:val="single" w:color="000000" w:sz="8" w:space="0"/>
              <w:right w:val="single" w:color="auto" w:sz="4" w:space="0"/>
            </w:tcBorders>
          </w:tcPr>
          <w:p>
            <w:pPr>
              <w:jc w:val="center"/>
            </w:pPr>
          </w:p>
        </w:tc>
        <w:tc>
          <w:tcPr>
            <w:tcW w:w="992" w:type="dxa"/>
            <w:tcBorders>
              <w:top w:val="single" w:color="000000" w:sz="8" w:space="0"/>
              <w:left w:val="single" w:color="auto" w:sz="4" w:space="0"/>
              <w:bottom w:val="single" w:color="000000" w:sz="8" w:space="0"/>
              <w:right w:val="single" w:color="auto" w:sz="4" w:space="0"/>
            </w:tcBorders>
          </w:tcPr>
          <w:p>
            <w:pPr>
              <w:jc w:val="center"/>
            </w:pPr>
          </w:p>
        </w:tc>
        <w:tc>
          <w:tcPr>
            <w:tcW w:w="1085" w:type="dxa"/>
            <w:tcBorders>
              <w:top w:val="single" w:color="000000" w:sz="8" w:space="0"/>
              <w:left w:val="single" w:color="auto" w:sz="4" w:space="0"/>
              <w:bottom w:val="single" w:color="000000" w:sz="8" w:space="0"/>
              <w:right w:val="single" w:color="000000" w:sz="8" w:space="0"/>
            </w:tcBorders>
          </w:tcPr>
          <w:p>
            <w:pPr>
              <w:jc w:val="center"/>
            </w:pPr>
          </w:p>
        </w:tc>
      </w:tr>
    </w:tbl>
    <w:p>
      <w:pPr>
        <w:rPr>
          <w:sz w:val="24"/>
        </w:rPr>
      </w:pPr>
    </w:p>
    <w:p>
      <w:pPr>
        <w:rPr>
          <w:sz w:val="24"/>
        </w:rPr>
      </w:pPr>
    </w:p>
    <w:p>
      <w:pPr>
        <w:jc w:val="left"/>
      </w:pPr>
      <w:r>
        <w:rPr>
          <w:rFonts w:hint="eastAsia"/>
        </w:rPr>
        <w:t>二、应答供应商资格要求</w:t>
      </w:r>
    </w:p>
    <w:p>
      <w:pPr>
        <w:jc w:val="center"/>
      </w:pPr>
      <w:r>
        <w:rPr>
          <w:rFonts w:hint="eastAsia"/>
        </w:rPr>
        <w:t>（特别提示：应答供应商须按本招标文件第一章招标公告第4条“应答供应商资格要求”提供相关证明，未提供或提供不完整、不符合要求的，应答文件将按应答无效处理。）</w:t>
      </w:r>
    </w:p>
    <w:p>
      <w:pPr>
        <w:rPr>
          <w:rFonts w:ascii="Arial" w:hAnsi="Arial" w:eastAsia="黑体" w:cs="Verdana"/>
          <w:b/>
          <w:kern w:val="0"/>
          <w:sz w:val="24"/>
          <w:szCs w:val="20"/>
        </w:rPr>
      </w:pPr>
    </w:p>
    <w:p>
      <w:pPr>
        <w:pStyle w:val="4"/>
      </w:pPr>
      <w:bookmarkStart w:id="18" w:name="_Toc194467298"/>
      <w:r>
        <w:rPr>
          <w:rFonts w:hint="eastAsia"/>
        </w:rPr>
        <w:t>第三册 供应商须知</w:t>
      </w:r>
      <w:bookmarkEnd w:id="18"/>
    </w:p>
    <w:p>
      <w:pPr>
        <w:pStyle w:val="7"/>
      </w:pPr>
      <w:bookmarkStart w:id="19" w:name="bt图纸"/>
      <w:bookmarkEnd w:id="19"/>
      <w:bookmarkStart w:id="20" w:name="bt投标须知前附表"/>
      <w:bookmarkEnd w:id="20"/>
      <w:bookmarkStart w:id="21" w:name="bt投标须知"/>
      <w:bookmarkEnd w:id="21"/>
      <w:bookmarkStart w:id="22" w:name="_Toc73521556"/>
      <w:bookmarkStart w:id="23" w:name="_Toc73521644"/>
      <w:bookmarkStart w:id="24" w:name="_Toc73518126"/>
      <w:bookmarkStart w:id="25" w:name="_Toc73517648"/>
      <w:bookmarkStart w:id="26" w:name="_Toc100052373"/>
      <w:bookmarkStart w:id="27" w:name="_Toc101074878"/>
      <w:bookmarkStart w:id="28" w:name="_Toc194467301"/>
      <w:r>
        <w:rPr>
          <w:rFonts w:hint="eastAsia"/>
        </w:rPr>
        <w:t>第一章 采购文件</w:t>
      </w:r>
      <w:bookmarkEnd w:id="22"/>
      <w:bookmarkEnd w:id="23"/>
      <w:bookmarkEnd w:id="24"/>
      <w:bookmarkEnd w:id="25"/>
      <w:bookmarkEnd w:id="26"/>
      <w:bookmarkEnd w:id="27"/>
      <w:bookmarkEnd w:id="28"/>
    </w:p>
    <w:p>
      <w:pPr>
        <w:spacing w:line="360" w:lineRule="auto"/>
        <w:rPr>
          <w:rFonts w:ascii="黑体" w:hAnsi="宋体" w:eastAsia="黑体"/>
          <w:sz w:val="24"/>
        </w:rPr>
      </w:pPr>
      <w:bookmarkStart w:id="29" w:name="_Toc73521645"/>
      <w:bookmarkStart w:id="30" w:name="_Toc100052374"/>
      <w:bookmarkStart w:id="31" w:name="_Toc73518127"/>
      <w:bookmarkStart w:id="32" w:name="_Toc73521557"/>
      <w:bookmarkStart w:id="33" w:name="_Toc73517649"/>
      <w:r>
        <w:rPr>
          <w:rFonts w:ascii="黑体" w:hAnsi="宋体" w:eastAsia="黑体"/>
          <w:sz w:val="24"/>
        </w:rPr>
        <w:t xml:space="preserve">1. </w:t>
      </w:r>
      <w:r>
        <w:rPr>
          <w:rFonts w:hint="eastAsia" w:ascii="黑体" w:hAnsi="宋体" w:eastAsia="黑体"/>
          <w:sz w:val="24"/>
        </w:rPr>
        <w:t>采购文件的组成</w:t>
      </w:r>
      <w:bookmarkEnd w:id="29"/>
      <w:bookmarkEnd w:id="30"/>
      <w:bookmarkEnd w:id="31"/>
      <w:bookmarkEnd w:id="32"/>
      <w:bookmarkEnd w:id="33"/>
    </w:p>
    <w:p>
      <w:pPr>
        <w:ind w:firstLine="420" w:firstLineChars="200"/>
        <w:rPr>
          <w:rFonts w:ascii="宋体" w:hAnsi="宋体"/>
          <w:szCs w:val="21"/>
        </w:rPr>
      </w:pPr>
      <w:r>
        <w:rPr>
          <w:rFonts w:hint="eastAsia" w:ascii="宋体" w:hAnsi="宋体"/>
          <w:szCs w:val="21"/>
        </w:rPr>
        <w:t>1.1采购文件共分为关键信息和采购文件正文。项目关键信息内容包括项目信息、应答文件初审表（含资格性审查表和符合性审查表）、评标信息；</w:t>
      </w:r>
    </w:p>
    <w:p>
      <w:pPr>
        <w:ind w:firstLine="420" w:firstLineChars="200"/>
        <w:rPr>
          <w:rFonts w:ascii="宋体" w:hAnsi="宋体"/>
          <w:szCs w:val="21"/>
        </w:rPr>
      </w:pPr>
      <w:r>
        <w:rPr>
          <w:rFonts w:hint="eastAsia" w:ascii="宋体" w:hAnsi="宋体"/>
          <w:szCs w:val="21"/>
        </w:rPr>
        <w:t>1.2采购文件正文分为三册：其中第三册是供应商须知，内含通用条款；第二册为合同格式及应答文件格式，第一册是对具体采购项目的说明、补充、完善和对第三册的修改等。</w:t>
      </w:r>
    </w:p>
    <w:p>
      <w:pPr>
        <w:ind w:firstLine="420" w:firstLineChars="200"/>
        <w:rPr>
          <w:rFonts w:ascii="宋体" w:hAnsi="宋体"/>
          <w:szCs w:val="21"/>
        </w:rPr>
      </w:pPr>
      <w:r>
        <w:rPr>
          <w:rFonts w:ascii="宋体" w:hAnsi="宋体"/>
          <w:szCs w:val="21"/>
        </w:rPr>
        <w:t>1</w:t>
      </w:r>
      <w:r>
        <w:rPr>
          <w:rFonts w:hint="eastAsia" w:ascii="宋体" w:hAnsi="宋体"/>
          <w:szCs w:val="21"/>
        </w:rPr>
        <w:t>.3 供应商下载采购文件后，应仔细检查采购文件的所有内容，如有内容缺失应在应答答疑截止时间之前向采购机构提出，否则，由此引起的应答损失自负；供应商同时应认真审阅采购文件所有的事项、格式、条款和规范要求等，如果供应商的应答文件没有按采购文件要求提交全部资料或者应答文件没有对采购文件做出实质性响应，其风险应由供应商自行承担，并根据有关条款规定，其应答有可能被拒绝。</w:t>
      </w:r>
    </w:p>
    <w:p>
      <w:pPr>
        <w:ind w:firstLine="411" w:firstLineChars="196"/>
        <w:rPr>
          <w:rFonts w:ascii="宋体" w:hAnsi="宋体"/>
          <w:szCs w:val="21"/>
        </w:rPr>
      </w:pPr>
      <w:r>
        <w:rPr>
          <w:rFonts w:ascii="宋体" w:hAnsi="宋体"/>
          <w:szCs w:val="21"/>
        </w:rPr>
        <w:t>1</w:t>
      </w:r>
      <w:r>
        <w:rPr>
          <w:rFonts w:hint="eastAsia" w:ascii="宋体" w:hAnsi="宋体"/>
          <w:szCs w:val="21"/>
        </w:rPr>
        <w:t>.4</w:t>
      </w:r>
      <w:r>
        <w:rPr>
          <w:rFonts w:hint="eastAsia" w:ascii="宋体" w:hAnsi="宋体"/>
        </w:rPr>
        <w:t>任何人或任何组织向供应商提交的任何书面或口头资料，未经采购机构在网上发布或书面通知，均作无效处理，不得作为采购文件的组成部分。采购机构对供应商由此而做出的推论、理解和结论概不负责。</w:t>
      </w:r>
    </w:p>
    <w:p>
      <w:pPr>
        <w:spacing w:line="360" w:lineRule="auto"/>
        <w:rPr>
          <w:rFonts w:ascii="黑体" w:hAnsi="宋体" w:eastAsia="黑体"/>
          <w:sz w:val="24"/>
        </w:rPr>
      </w:pPr>
      <w:bookmarkStart w:id="34" w:name="_Toc60560636"/>
      <w:bookmarkStart w:id="35" w:name="_Toc73521558"/>
      <w:bookmarkStart w:id="36" w:name="_Toc100052375"/>
      <w:bookmarkStart w:id="37" w:name="_Toc73517650"/>
      <w:bookmarkStart w:id="38" w:name="_Toc60631631"/>
      <w:bookmarkStart w:id="39" w:name="_Toc73518128"/>
      <w:bookmarkStart w:id="40" w:name="_Toc73521646"/>
      <w:r>
        <w:rPr>
          <w:rFonts w:ascii="黑体" w:hAnsi="宋体" w:eastAsia="黑体"/>
          <w:sz w:val="24"/>
        </w:rPr>
        <w:t>2</w:t>
      </w:r>
      <w:r>
        <w:rPr>
          <w:rFonts w:hint="eastAsia" w:ascii="黑体" w:hAnsi="宋体" w:eastAsia="黑体"/>
          <w:sz w:val="24"/>
        </w:rPr>
        <w:t>．采购文件的澄清</w:t>
      </w:r>
      <w:bookmarkEnd w:id="34"/>
      <w:bookmarkEnd w:id="35"/>
      <w:bookmarkEnd w:id="36"/>
      <w:bookmarkEnd w:id="37"/>
      <w:bookmarkEnd w:id="38"/>
      <w:bookmarkEnd w:id="39"/>
      <w:bookmarkEnd w:id="40"/>
    </w:p>
    <w:p>
      <w:pPr>
        <w:ind w:firstLine="411" w:firstLineChars="196"/>
        <w:rPr>
          <w:rFonts w:ascii="宋体" w:hAnsi="宋体"/>
          <w:szCs w:val="21"/>
        </w:rPr>
      </w:pPr>
      <w:r>
        <w:rPr>
          <w:rFonts w:ascii="宋体" w:hAnsi="宋体"/>
          <w:szCs w:val="21"/>
        </w:rPr>
        <w:t>2</w:t>
      </w:r>
      <w:r>
        <w:rPr>
          <w:rFonts w:hint="eastAsia" w:ascii="宋体" w:hAnsi="宋体"/>
          <w:szCs w:val="21"/>
        </w:rPr>
        <w:t>.1供应商在收到采购文件后，对采购文件任何部分若有任何疑问，或要求澄清采购文件的，均应在采购公告规定的供应商提问截止时间前，按网上提问的形式向采购机构提交。不论是采购机构根据需要主动对采购文件进行必要的澄清或是根据供应商的要求对采购文件做出澄清，采购机构都将在应答截止日期前以书面形式（包括网站公开发布和深圳市罗湖区政府采购系统应答答疑中发布的方式）答复或发送给所有供应商。澄清纪要作为采购文件的组成部分，对供应商起约束作用；</w:t>
      </w:r>
    </w:p>
    <w:p>
      <w:pPr>
        <w:ind w:firstLine="411" w:firstLineChars="196"/>
        <w:rPr>
          <w:rFonts w:ascii="宋体" w:hAnsi="宋体"/>
          <w:szCs w:val="21"/>
        </w:rPr>
      </w:pPr>
      <w:r>
        <w:rPr>
          <w:rFonts w:ascii="宋体" w:hAnsi="宋体"/>
          <w:szCs w:val="21"/>
        </w:rPr>
        <w:t>2</w:t>
      </w:r>
      <w:r>
        <w:rPr>
          <w:rFonts w:hint="eastAsia" w:ascii="宋体" w:hAnsi="宋体"/>
          <w:szCs w:val="21"/>
        </w:rPr>
        <w:t>.2对于没有提出澄清又参与了该项目应答的供应商将被视为完全认同该采购文件（含澄清纪要），应答截止期后不再受理针对采购文件的相关质疑或投诉。</w:t>
      </w:r>
    </w:p>
    <w:p>
      <w:pPr>
        <w:ind w:firstLine="411" w:firstLineChars="196"/>
        <w:rPr>
          <w:rFonts w:ascii="宋体" w:hAnsi="宋体"/>
          <w:szCs w:val="21"/>
        </w:rPr>
      </w:pPr>
      <w:r>
        <w:rPr>
          <w:rFonts w:ascii="宋体" w:hAnsi="宋体"/>
          <w:szCs w:val="21"/>
        </w:rPr>
        <w:t>2</w:t>
      </w:r>
      <w:r>
        <w:rPr>
          <w:rFonts w:hint="eastAsia" w:ascii="宋体" w:hAnsi="宋体"/>
          <w:szCs w:val="21"/>
        </w:rPr>
        <w:t>.3 对采购文件中描述有歧义或前后不一致的地方，评审委员会有权进行评判，但对同一条款的评判应适用于每个供应商。</w:t>
      </w:r>
    </w:p>
    <w:p>
      <w:pPr>
        <w:spacing w:line="360" w:lineRule="auto"/>
        <w:rPr>
          <w:rFonts w:ascii="黑体" w:hAnsi="宋体" w:eastAsia="黑体"/>
          <w:sz w:val="24"/>
        </w:rPr>
      </w:pPr>
      <w:bookmarkStart w:id="41" w:name="_Toc60631632"/>
      <w:bookmarkStart w:id="42" w:name="_Toc100052376"/>
      <w:bookmarkStart w:id="43" w:name="_Toc73517651"/>
      <w:bookmarkStart w:id="44" w:name="_Toc73518129"/>
      <w:bookmarkStart w:id="45" w:name="_Toc73521647"/>
      <w:bookmarkStart w:id="46" w:name="_Toc60560637"/>
      <w:bookmarkStart w:id="47" w:name="_Toc73521559"/>
      <w:r>
        <w:rPr>
          <w:rFonts w:ascii="黑体" w:hAnsi="宋体" w:eastAsia="黑体"/>
          <w:sz w:val="24"/>
        </w:rPr>
        <w:t>3</w:t>
      </w:r>
      <w:r>
        <w:rPr>
          <w:rFonts w:hint="eastAsia" w:ascii="黑体" w:hAnsi="宋体" w:eastAsia="黑体"/>
          <w:sz w:val="24"/>
        </w:rPr>
        <w:t>．采购文件的修改</w:t>
      </w:r>
      <w:bookmarkEnd w:id="41"/>
      <w:bookmarkEnd w:id="42"/>
      <w:bookmarkEnd w:id="43"/>
      <w:bookmarkEnd w:id="44"/>
      <w:bookmarkEnd w:id="45"/>
      <w:bookmarkEnd w:id="46"/>
      <w:bookmarkEnd w:id="47"/>
    </w:p>
    <w:p>
      <w:pPr>
        <w:ind w:firstLine="411" w:firstLineChars="196"/>
        <w:rPr>
          <w:rFonts w:ascii="宋体" w:hAnsi="宋体"/>
          <w:szCs w:val="21"/>
        </w:rPr>
      </w:pPr>
      <w:r>
        <w:rPr>
          <w:rFonts w:ascii="宋体" w:hAnsi="宋体"/>
          <w:szCs w:val="21"/>
        </w:rPr>
        <w:t>3</w:t>
      </w:r>
      <w:r>
        <w:rPr>
          <w:rFonts w:hint="eastAsia" w:ascii="宋体" w:hAnsi="宋体"/>
          <w:szCs w:val="21"/>
        </w:rPr>
        <w:t>.1采购文件发出后，在应答截止日期前任何时候，确需要变更采购内容的，采购机构可主动地或在解答供应商提出的澄清问题时对采购文件进行修改；</w:t>
      </w:r>
    </w:p>
    <w:p>
      <w:pPr>
        <w:ind w:firstLine="411" w:firstLineChars="196"/>
        <w:rPr>
          <w:rFonts w:ascii="宋体" w:hAnsi="宋体"/>
          <w:szCs w:val="21"/>
        </w:rPr>
      </w:pPr>
      <w:r>
        <w:rPr>
          <w:rFonts w:ascii="宋体" w:hAnsi="宋体"/>
          <w:szCs w:val="21"/>
        </w:rPr>
        <w:t>3</w:t>
      </w:r>
      <w:r>
        <w:rPr>
          <w:rFonts w:hint="eastAsia" w:ascii="宋体" w:hAnsi="宋体"/>
          <w:szCs w:val="21"/>
        </w:rPr>
        <w:t>.2采购文件的修改以书面形式（包括网站公开发布和深圳市罗湖区政府采购系统应答答疑中发布的方式）发送给所有供应商，采购文件的修改内容作为采购文件的组成部分，并具有约束力。</w:t>
      </w:r>
    </w:p>
    <w:p>
      <w:pPr>
        <w:ind w:firstLine="411" w:firstLineChars="196"/>
        <w:rPr>
          <w:rFonts w:ascii="宋体" w:hAnsi="宋体"/>
          <w:szCs w:val="21"/>
        </w:rPr>
      </w:pPr>
      <w:r>
        <w:rPr>
          <w:rFonts w:ascii="宋体" w:hAnsi="宋体"/>
          <w:szCs w:val="21"/>
        </w:rPr>
        <w:t>3</w:t>
      </w:r>
      <w:r>
        <w:rPr>
          <w:rFonts w:hint="eastAsia" w:ascii="宋体" w:hAnsi="宋体"/>
          <w:szCs w:val="21"/>
        </w:rPr>
        <w:t>.3采购文件、采购文件澄清（答疑）纪要、采购文件修改补充通知内容均以书面明确的内容为准。当采购文件、修改补充通知、澄清（答疑）纪要内容相互矛盾时，以最后发出的通知（或纪要）或修改的文件为准；</w:t>
      </w:r>
    </w:p>
    <w:p>
      <w:pPr>
        <w:ind w:firstLine="411" w:firstLineChars="196"/>
        <w:rPr>
          <w:rFonts w:ascii="宋体" w:hAnsi="宋体"/>
          <w:szCs w:val="21"/>
        </w:rPr>
      </w:pPr>
      <w:r>
        <w:rPr>
          <w:rFonts w:ascii="宋体" w:hAnsi="宋体"/>
          <w:szCs w:val="21"/>
        </w:rPr>
        <w:t>3</w:t>
      </w:r>
      <w:r>
        <w:rPr>
          <w:rFonts w:hint="eastAsia" w:ascii="宋体" w:hAnsi="宋体"/>
          <w:szCs w:val="21"/>
        </w:rPr>
        <w:t>.4采购机构保证采购文件澄清（答疑）纪要和采购文件修改补充通知在应答截止时间前以网站公开发布形式或书面形式发送给所有供应商。为使供应商在编写应答文件时有充分时间对采购文件的修改部分进行研究，政府物料供应中心可以酌情延长递交应答文件的截止日期，具体时间将在修改补充通知中明确。</w:t>
      </w:r>
    </w:p>
    <w:p>
      <w:pPr>
        <w:pStyle w:val="7"/>
      </w:pPr>
      <w:bookmarkStart w:id="48" w:name="bt投标文件"/>
      <w:bookmarkEnd w:id="48"/>
      <w:bookmarkStart w:id="49" w:name="_Toc194467302"/>
      <w:bookmarkStart w:id="50" w:name="_Toc73518130"/>
      <w:bookmarkStart w:id="51" w:name="_Toc73521648"/>
      <w:bookmarkStart w:id="52" w:name="_Toc73521560"/>
      <w:bookmarkStart w:id="53" w:name="_Toc73517652"/>
      <w:bookmarkStart w:id="54" w:name="_Toc100052377"/>
      <w:bookmarkStart w:id="55" w:name="_Toc101074879"/>
      <w:r>
        <w:rPr>
          <w:rFonts w:hint="eastAsia"/>
        </w:rPr>
        <w:t>第二章 应答文件</w:t>
      </w:r>
      <w:bookmarkEnd w:id="49"/>
      <w:bookmarkEnd w:id="50"/>
      <w:bookmarkEnd w:id="51"/>
      <w:bookmarkEnd w:id="52"/>
      <w:bookmarkEnd w:id="53"/>
      <w:bookmarkEnd w:id="54"/>
      <w:bookmarkEnd w:id="55"/>
    </w:p>
    <w:p>
      <w:pPr>
        <w:spacing w:line="360" w:lineRule="auto"/>
        <w:rPr>
          <w:rFonts w:ascii="黑体" w:hAnsi="宋体" w:eastAsia="黑体"/>
          <w:sz w:val="24"/>
        </w:rPr>
      </w:pPr>
      <w:bookmarkStart w:id="56" w:name="_Toc60631634"/>
      <w:bookmarkStart w:id="57" w:name="_Toc100052378"/>
      <w:bookmarkStart w:id="58" w:name="_Toc60560639"/>
      <w:bookmarkStart w:id="59" w:name="_Toc73521561"/>
      <w:bookmarkStart w:id="60" w:name="_Toc73518131"/>
      <w:bookmarkStart w:id="61" w:name="_Toc73521649"/>
      <w:bookmarkStart w:id="62" w:name="_Toc73517653"/>
      <w:r>
        <w:rPr>
          <w:rFonts w:ascii="黑体" w:hAnsi="宋体" w:eastAsia="黑体"/>
          <w:sz w:val="24"/>
        </w:rPr>
        <w:t>4</w:t>
      </w:r>
      <w:r>
        <w:rPr>
          <w:rFonts w:hint="eastAsia" w:ascii="黑体" w:hAnsi="宋体" w:eastAsia="黑体"/>
          <w:sz w:val="24"/>
        </w:rPr>
        <w:t>．应答文件的语言及度量单位</w:t>
      </w:r>
      <w:bookmarkEnd w:id="56"/>
      <w:bookmarkEnd w:id="57"/>
      <w:bookmarkEnd w:id="58"/>
      <w:bookmarkEnd w:id="59"/>
      <w:bookmarkEnd w:id="60"/>
      <w:bookmarkEnd w:id="61"/>
      <w:bookmarkEnd w:id="62"/>
    </w:p>
    <w:p>
      <w:pPr>
        <w:ind w:firstLine="411" w:firstLineChars="196"/>
        <w:rPr>
          <w:rFonts w:ascii="宋体" w:hAnsi="宋体"/>
          <w:szCs w:val="21"/>
        </w:rPr>
      </w:pPr>
      <w:r>
        <w:rPr>
          <w:rFonts w:ascii="宋体" w:hAnsi="宋体"/>
          <w:szCs w:val="21"/>
        </w:rPr>
        <w:t>4</w:t>
      </w:r>
      <w:r>
        <w:rPr>
          <w:rFonts w:hint="eastAsia" w:ascii="宋体" w:hAnsi="宋体"/>
          <w:szCs w:val="21"/>
        </w:rPr>
        <w:t>.1供应商与采购机构之间与应答有关的所有往来通知、函件和应答文件均用中文表述。供应商随应答文件提供的证明文件和资料可以为其它语言，但必须附中文译文。在此，为了解释应答文件，应以中文为准；</w:t>
      </w:r>
    </w:p>
    <w:p>
      <w:pPr>
        <w:ind w:firstLine="411" w:firstLineChars="196"/>
        <w:rPr>
          <w:rFonts w:ascii="宋体" w:hAnsi="宋体"/>
          <w:szCs w:val="21"/>
        </w:rPr>
      </w:pPr>
      <w:r>
        <w:rPr>
          <w:rFonts w:ascii="宋体" w:hAnsi="宋体"/>
          <w:szCs w:val="21"/>
        </w:rPr>
        <w:t>4</w:t>
      </w:r>
      <w:r>
        <w:rPr>
          <w:rFonts w:hint="eastAsia" w:ascii="宋体" w:hAnsi="宋体"/>
          <w:szCs w:val="21"/>
        </w:rPr>
        <w:t>.2除技术规范另有规定外，应答文件使用的度量单位，均采用中华人民共和国法定计量单位。</w:t>
      </w:r>
    </w:p>
    <w:p>
      <w:pPr>
        <w:spacing w:line="360" w:lineRule="auto"/>
        <w:rPr>
          <w:rFonts w:ascii="黑体" w:hAnsi="宋体" w:eastAsia="黑体"/>
          <w:sz w:val="24"/>
        </w:rPr>
      </w:pPr>
      <w:bookmarkStart w:id="63" w:name="_Toc73521563"/>
      <w:bookmarkStart w:id="64" w:name="_Toc73518133"/>
      <w:bookmarkStart w:id="65" w:name="_Toc73517655"/>
      <w:bookmarkStart w:id="66" w:name="_Toc73521651"/>
      <w:bookmarkStart w:id="67" w:name="_Toc60631636"/>
      <w:bookmarkStart w:id="68" w:name="_Toc100052380"/>
      <w:bookmarkStart w:id="69" w:name="_Toc60560641"/>
      <w:r>
        <w:rPr>
          <w:rFonts w:ascii="黑体" w:hAnsi="宋体" w:eastAsia="黑体"/>
          <w:sz w:val="24"/>
        </w:rPr>
        <w:t>5</w:t>
      </w:r>
      <w:r>
        <w:rPr>
          <w:rFonts w:hint="eastAsia" w:ascii="黑体" w:hAnsi="宋体" w:eastAsia="黑体"/>
          <w:sz w:val="24"/>
        </w:rPr>
        <w:t>．应答文件格式</w:t>
      </w:r>
      <w:bookmarkEnd w:id="63"/>
      <w:bookmarkEnd w:id="64"/>
      <w:bookmarkEnd w:id="65"/>
      <w:bookmarkEnd w:id="66"/>
      <w:bookmarkEnd w:id="67"/>
      <w:bookmarkEnd w:id="68"/>
      <w:bookmarkEnd w:id="69"/>
    </w:p>
    <w:p>
      <w:pPr>
        <w:ind w:firstLine="411" w:firstLineChars="196"/>
        <w:rPr>
          <w:rFonts w:ascii="宋体" w:hAnsi="宋体"/>
          <w:szCs w:val="21"/>
        </w:rPr>
      </w:pPr>
      <w:r>
        <w:rPr>
          <w:rFonts w:ascii="宋体" w:hAnsi="宋体"/>
          <w:szCs w:val="21"/>
        </w:rPr>
        <w:t>5</w:t>
      </w:r>
      <w:r>
        <w:rPr>
          <w:rFonts w:hint="eastAsia" w:ascii="宋体" w:hAnsi="宋体"/>
          <w:szCs w:val="21"/>
        </w:rPr>
        <w:t>.1如采购文件提供了应答文件格式，则</w:t>
      </w:r>
      <w:r>
        <w:rPr>
          <w:rFonts w:hint="eastAsia" w:ascii="宋体" w:hAnsi="宋体"/>
          <w:b/>
          <w:bCs/>
          <w:szCs w:val="21"/>
        </w:rPr>
        <w:t>供应商提交的应答文件必须毫无例外地使用采购文件所提供的相应格式</w:t>
      </w:r>
      <w:r>
        <w:rPr>
          <w:rFonts w:hint="eastAsia" w:ascii="宋体" w:hAnsi="宋体"/>
          <w:szCs w:val="21"/>
        </w:rPr>
        <w:t>（表格可以按同样格式扩展）。</w:t>
      </w:r>
      <w:bookmarkStart w:id="70" w:name="_Toc73521653"/>
      <w:bookmarkStart w:id="71" w:name="_Toc60560643"/>
      <w:bookmarkStart w:id="72" w:name="_Toc73521565"/>
      <w:bookmarkStart w:id="73" w:name="_Toc73518135"/>
      <w:bookmarkStart w:id="74" w:name="_Toc60631638"/>
      <w:bookmarkStart w:id="75" w:name="_Toc73517657"/>
    </w:p>
    <w:bookmarkEnd w:id="70"/>
    <w:bookmarkEnd w:id="71"/>
    <w:bookmarkEnd w:id="72"/>
    <w:bookmarkEnd w:id="73"/>
    <w:bookmarkEnd w:id="74"/>
    <w:bookmarkEnd w:id="75"/>
    <w:p>
      <w:pPr>
        <w:ind w:firstLine="411" w:firstLineChars="196"/>
        <w:rPr>
          <w:rFonts w:ascii="宋体" w:hAnsi="宋体"/>
          <w:szCs w:val="21"/>
        </w:rPr>
      </w:pPr>
      <w:r>
        <w:rPr>
          <w:rFonts w:ascii="宋体" w:hAnsi="宋体"/>
          <w:szCs w:val="21"/>
        </w:rPr>
        <w:t>5.2</w:t>
      </w:r>
      <w:r>
        <w:rPr>
          <w:rFonts w:hint="eastAsia" w:ascii="宋体" w:hAnsi="宋体"/>
          <w:szCs w:val="21"/>
        </w:rPr>
        <w:t>成交供应商的应答书有效期，截止于完成本采购文件规定的全部项目内容，并通过竣工验收及保修结束。</w:t>
      </w:r>
    </w:p>
    <w:p>
      <w:pPr>
        <w:spacing w:line="360" w:lineRule="auto"/>
        <w:rPr>
          <w:rFonts w:ascii="黑体" w:hAnsi="宋体" w:eastAsia="黑体"/>
          <w:sz w:val="24"/>
        </w:rPr>
      </w:pPr>
      <w:bookmarkStart w:id="76" w:name="_Toc100052386"/>
      <w:bookmarkStart w:id="77" w:name="_Toc73518139"/>
      <w:bookmarkStart w:id="78" w:name="_Toc73521569"/>
      <w:bookmarkStart w:id="79" w:name="_Toc73521657"/>
      <w:bookmarkStart w:id="80" w:name="_Toc73517661"/>
      <w:r>
        <w:rPr>
          <w:rFonts w:hint="eastAsia" w:ascii="黑体" w:hAnsi="宋体" w:eastAsia="黑体"/>
          <w:sz w:val="24"/>
        </w:rPr>
        <w:t>6．</w:t>
      </w:r>
      <w:r>
        <w:rPr>
          <w:rFonts w:ascii="黑体" w:hAnsi="宋体" w:eastAsia="黑体"/>
          <w:sz w:val="24"/>
        </w:rPr>
        <w:t>应答文件的书写要求</w:t>
      </w:r>
      <w:bookmarkEnd w:id="76"/>
      <w:bookmarkEnd w:id="77"/>
      <w:bookmarkEnd w:id="78"/>
      <w:bookmarkEnd w:id="79"/>
      <w:bookmarkEnd w:id="80"/>
    </w:p>
    <w:p>
      <w:pPr>
        <w:ind w:firstLine="411" w:firstLineChars="196"/>
        <w:rPr>
          <w:rFonts w:ascii="宋体" w:hAnsi="宋体"/>
          <w:szCs w:val="21"/>
        </w:rPr>
      </w:pPr>
      <w:r>
        <w:rPr>
          <w:rFonts w:hint="eastAsia" w:ascii="宋体" w:hAnsi="宋体"/>
          <w:szCs w:val="21"/>
        </w:rPr>
        <w:t>6.1供应商应准备所投项目的电子应答文件一份，此电子应答文件须由供应商根据采购机构提供的电子采购文件。</w:t>
      </w:r>
    </w:p>
    <w:p>
      <w:pPr>
        <w:ind w:firstLine="411" w:firstLineChars="196"/>
        <w:rPr>
          <w:rFonts w:ascii="宋体" w:hAnsi="宋体"/>
          <w:szCs w:val="21"/>
        </w:rPr>
      </w:pPr>
      <w:r>
        <w:rPr>
          <w:rFonts w:hint="eastAsia" w:ascii="宋体" w:hAnsi="宋体"/>
          <w:szCs w:val="21"/>
        </w:rPr>
        <w:t>（1)电子应答文件编写完成后盖章并扫描为后缀名为.pdf文件，响应时上传至“报名方案”（文件命名为：项目编号+公司名称+正文 二字）。第二册第二章第二部分应答文件附件按照相关要求，盖章并扫描为.pdf上传至“报名附件”（文件命名为：项目编号+公司名称+附件 二字）。</w:t>
      </w:r>
    </w:p>
    <w:p>
      <w:pPr>
        <w:ind w:firstLine="411" w:firstLineChars="196"/>
        <w:rPr>
          <w:rFonts w:ascii="宋体" w:hAnsi="宋体"/>
          <w:szCs w:val="21"/>
        </w:rPr>
      </w:pPr>
      <w:r>
        <w:rPr>
          <w:rFonts w:hint="eastAsia" w:ascii="宋体" w:hAnsi="宋体"/>
          <w:szCs w:val="21"/>
        </w:rPr>
        <w:t>（2）罗湖区政府物料供应中心不接受应答截止时间后递交的纸质、电子、传真等所有形式的应答文件。由于对网上招应答操作不熟悉或自身电脑、网络的原因导致不能在应答截止时间之前上传应答文件，罗湖区政府物料供应中心不负任何责任。建议于开标前一个工作日完成应答文件的制作与上传，如果上传有困难，请及时咨询深圳市罗湖区政府采购中心热线电话：82201873。</w:t>
      </w:r>
    </w:p>
    <w:p>
      <w:pPr>
        <w:ind w:firstLine="411" w:firstLineChars="196"/>
        <w:rPr>
          <w:rFonts w:ascii="宋体" w:hAnsi="宋体"/>
          <w:szCs w:val="21"/>
        </w:rPr>
      </w:pPr>
      <w:r>
        <w:rPr>
          <w:rFonts w:hint="eastAsia" w:ascii="宋体" w:hAnsi="宋体"/>
          <w:szCs w:val="21"/>
        </w:rPr>
        <w:t>（3）如果开标时出现网络故障、技术故障，影响了应答活动，罗湖区政府物料供应中心有权采取措施如延期、接受无法从网上上传的应答书等，以保障招应答活动的公开、公平和公正，供应商不得对此持有异议</w:t>
      </w:r>
    </w:p>
    <w:p>
      <w:pPr>
        <w:ind w:firstLine="411" w:firstLineChars="196"/>
        <w:rPr>
          <w:rFonts w:ascii="宋体" w:hAnsi="宋体"/>
          <w:szCs w:val="21"/>
        </w:rPr>
      </w:pPr>
      <w:r>
        <w:rPr>
          <w:rFonts w:hint="eastAsia" w:ascii="宋体" w:hAnsi="宋体"/>
          <w:szCs w:val="21"/>
        </w:rPr>
        <w:t xml:space="preserve"> （4）应答文件应控制在100M以内，超过100M的应答文件将无法上传到系统。</w:t>
      </w:r>
    </w:p>
    <w:p>
      <w:pPr>
        <w:ind w:firstLine="411" w:firstLineChars="196"/>
        <w:rPr>
          <w:rFonts w:ascii="宋体" w:hAnsi="宋体"/>
          <w:szCs w:val="21"/>
        </w:rPr>
      </w:pPr>
      <w:r>
        <w:rPr>
          <w:rFonts w:ascii="宋体" w:hAnsi="宋体"/>
          <w:szCs w:val="21"/>
        </w:rPr>
        <w:t>6</w:t>
      </w:r>
      <w:r>
        <w:rPr>
          <w:rFonts w:hint="eastAsia" w:ascii="宋体" w:hAnsi="宋体"/>
          <w:szCs w:val="21"/>
        </w:rPr>
        <w:t>.</w:t>
      </w:r>
      <w:r>
        <w:rPr>
          <w:rFonts w:ascii="宋体" w:hAnsi="宋体"/>
          <w:szCs w:val="21"/>
        </w:rPr>
        <w:t>2</w:t>
      </w:r>
      <w:r>
        <w:rPr>
          <w:rFonts w:hint="eastAsia" w:ascii="宋体" w:hAnsi="宋体"/>
          <w:szCs w:val="21"/>
        </w:rPr>
        <w:t xml:space="preserve"> 电报、电话、传真形式的应答概不接受。</w:t>
      </w:r>
    </w:p>
    <w:p>
      <w:pPr>
        <w:ind w:firstLine="411" w:firstLineChars="196"/>
        <w:rPr>
          <w:rFonts w:ascii="宋体" w:hAnsi="宋体"/>
          <w:szCs w:val="21"/>
        </w:rPr>
      </w:pPr>
      <w:r>
        <w:rPr>
          <w:rFonts w:ascii="宋体" w:hAnsi="宋体"/>
          <w:szCs w:val="21"/>
        </w:rPr>
        <w:t>6</w:t>
      </w:r>
      <w:r>
        <w:rPr>
          <w:rFonts w:hint="eastAsia" w:ascii="宋体" w:hAnsi="宋体"/>
          <w:szCs w:val="21"/>
        </w:rPr>
        <w:t>.3对项目采购文件《评标信息》评分项中涉及的相关业绩、社保情况、纳税情况、检测报告、银行资信等级和资金流状况等内容以及《应答文件初审表》中涉及的资格证书，供应商应提供相关部门出具的证明材料原件扫描件，原件备查。上述证明材料应为证件正面、背面和附件标注的全部具体内容；有关原件扫描件的尺寸和清晰度应该能够在电脑上被阅读、识别和判断。若供应商未按要求提供证明材料或提供的是部分证明材料或提供不清晰的原件扫描件的，评审委员会有权认定其应答文件未对采购文件有关需求进行响应，涉及资格性检查或符合性检查的予以投标无效处理，涉及《评审信息》打分项的则该项评分予以</w:t>
      </w:r>
      <w:r>
        <w:rPr>
          <w:rFonts w:hint="eastAsia" w:ascii="宋体" w:hAnsi="宋体"/>
          <w:color w:val="FF0000"/>
          <w:szCs w:val="21"/>
        </w:rPr>
        <w:t>扣分</w:t>
      </w:r>
      <w:r>
        <w:rPr>
          <w:rFonts w:hint="eastAsia" w:ascii="宋体" w:hAnsi="宋体"/>
          <w:szCs w:val="21"/>
        </w:rPr>
        <w:t>处理。</w:t>
      </w:r>
    </w:p>
    <w:p>
      <w:pPr>
        <w:ind w:firstLine="411" w:firstLineChars="196"/>
        <w:rPr>
          <w:rFonts w:ascii="宋体" w:hAnsi="宋体"/>
          <w:szCs w:val="21"/>
        </w:rPr>
      </w:pPr>
      <w:r>
        <w:rPr>
          <w:rFonts w:ascii="宋体" w:hAnsi="宋体"/>
          <w:szCs w:val="21"/>
        </w:rPr>
        <w:t>6</w:t>
      </w:r>
      <w:r>
        <w:rPr>
          <w:rFonts w:hint="eastAsia" w:ascii="宋体" w:hAnsi="宋体"/>
          <w:szCs w:val="21"/>
        </w:rPr>
        <w:t>.</w:t>
      </w:r>
      <w:r>
        <w:rPr>
          <w:rFonts w:ascii="宋体" w:hAnsi="宋体"/>
          <w:szCs w:val="21"/>
        </w:rPr>
        <w:t>4</w:t>
      </w:r>
      <w:r>
        <w:rPr>
          <w:rFonts w:hint="eastAsia" w:ascii="宋体" w:hAnsi="宋体"/>
          <w:szCs w:val="21"/>
        </w:rPr>
        <w:t>本项目涉及提供的有关资质证书，若原有资质证书处于年审期间，供应商提供年审证明的可按原资质应答；若供应商正在申报上一级别资质，在未获批准之前，仍按原级别资质应答。</w:t>
      </w:r>
    </w:p>
    <w:p>
      <w:pPr>
        <w:ind w:firstLine="411" w:firstLineChars="196"/>
        <w:rPr>
          <w:rFonts w:ascii="宋体" w:hAnsi="宋体"/>
          <w:szCs w:val="21"/>
        </w:rPr>
      </w:pPr>
    </w:p>
    <w:p>
      <w:pPr>
        <w:pStyle w:val="7"/>
      </w:pPr>
      <w:bookmarkStart w:id="81" w:name="bt递交投标文件"/>
      <w:bookmarkEnd w:id="81"/>
      <w:bookmarkStart w:id="82" w:name="_Toc73517662"/>
      <w:bookmarkStart w:id="83" w:name="_Toc100052387"/>
      <w:bookmarkStart w:id="84" w:name="_Toc101074880"/>
      <w:bookmarkStart w:id="85" w:name="_Toc73521570"/>
      <w:bookmarkStart w:id="86" w:name="_Toc73521658"/>
      <w:bookmarkStart w:id="87" w:name="_Toc73518140"/>
      <w:bookmarkStart w:id="88" w:name="_Toc194467303"/>
      <w:r>
        <w:rPr>
          <w:rFonts w:hint="eastAsia"/>
        </w:rPr>
        <w:t>第三章 递交应答文件</w:t>
      </w:r>
      <w:bookmarkEnd w:id="82"/>
      <w:bookmarkEnd w:id="83"/>
      <w:bookmarkEnd w:id="84"/>
      <w:bookmarkEnd w:id="85"/>
      <w:bookmarkEnd w:id="86"/>
      <w:bookmarkEnd w:id="87"/>
      <w:bookmarkEnd w:id="88"/>
    </w:p>
    <w:p>
      <w:pPr>
        <w:spacing w:line="360" w:lineRule="auto"/>
        <w:rPr>
          <w:rFonts w:ascii="黑体" w:hAnsi="宋体" w:eastAsia="黑体"/>
          <w:sz w:val="24"/>
        </w:rPr>
      </w:pPr>
      <w:bookmarkStart w:id="89" w:name="_Toc73517663"/>
      <w:bookmarkStart w:id="90" w:name="_Toc60631644"/>
      <w:bookmarkStart w:id="91" w:name="_Toc60560649"/>
      <w:bookmarkStart w:id="92" w:name="_Toc73521571"/>
      <w:bookmarkStart w:id="93" w:name="_Toc100052388"/>
      <w:bookmarkStart w:id="94" w:name="_Toc73521659"/>
      <w:bookmarkStart w:id="95" w:name="_Toc73518141"/>
      <w:r>
        <w:rPr>
          <w:rFonts w:ascii="黑体" w:hAnsi="宋体" w:eastAsia="黑体"/>
          <w:sz w:val="24"/>
        </w:rPr>
        <w:t>7</w:t>
      </w:r>
      <w:r>
        <w:rPr>
          <w:rFonts w:hint="eastAsia" w:ascii="黑体" w:hAnsi="宋体" w:eastAsia="黑体"/>
          <w:sz w:val="24"/>
        </w:rPr>
        <w:t>．应答截止日期</w:t>
      </w:r>
    </w:p>
    <w:p>
      <w:pPr>
        <w:ind w:firstLine="411" w:firstLineChars="196"/>
        <w:rPr>
          <w:rFonts w:ascii="宋体" w:hAnsi="宋体"/>
        </w:rPr>
      </w:pPr>
      <w:r>
        <w:rPr>
          <w:rFonts w:ascii="宋体" w:hAnsi="宋体"/>
        </w:rPr>
        <w:t>7.</w:t>
      </w:r>
      <w:r>
        <w:rPr>
          <w:rFonts w:hint="eastAsia" w:ascii="宋体" w:hAnsi="宋体"/>
        </w:rPr>
        <w:t>1实行网上应答，</w:t>
      </w:r>
      <w:r>
        <w:rPr>
          <w:rFonts w:ascii="宋体" w:hAnsi="宋体"/>
        </w:rPr>
        <w:t>供应商必须</w:t>
      </w:r>
      <w:r>
        <w:rPr>
          <w:rFonts w:hint="eastAsia" w:ascii="宋体" w:hAnsi="宋体"/>
        </w:rPr>
        <w:t>在采购</w:t>
      </w:r>
      <w:r>
        <w:rPr>
          <w:rFonts w:ascii="宋体" w:hAnsi="宋体"/>
        </w:rPr>
        <w:t>文件规定的应答截止时间前</w:t>
      </w:r>
      <w:r>
        <w:rPr>
          <w:rFonts w:hint="eastAsia" w:ascii="宋体" w:hAnsi="宋体"/>
        </w:rPr>
        <w:t>用电子密钥登录“深圳市罗湖区政府采购网”（http://lh.szzfcg.cn），用“自行采购”</w:t>
      </w:r>
      <w:r>
        <w:rPr>
          <w:rFonts w:ascii="宋体" w:hAnsi="宋体"/>
        </w:rPr>
        <w:t>—</w:t>
      </w:r>
      <w:r>
        <w:rPr>
          <w:rFonts w:hint="eastAsia" w:ascii="宋体" w:hAnsi="宋体"/>
        </w:rPr>
        <w:t>》“自行采购报名响应”功能点上传应答文件。</w:t>
      </w:r>
    </w:p>
    <w:p>
      <w:pPr>
        <w:ind w:firstLine="411" w:firstLineChars="196"/>
        <w:rPr>
          <w:rFonts w:ascii="宋体" w:hAnsi="宋体"/>
        </w:rPr>
      </w:pPr>
      <w:r>
        <w:rPr>
          <w:rFonts w:ascii="宋体" w:hAnsi="宋体"/>
        </w:rPr>
        <w:t>7</w:t>
      </w:r>
      <w:r>
        <w:rPr>
          <w:rFonts w:hint="eastAsia" w:ascii="宋体" w:hAnsi="宋体"/>
        </w:rPr>
        <w:t>.2</w:t>
      </w:r>
      <w:r>
        <w:rPr>
          <w:rFonts w:hint="eastAsia" w:ascii="宋体" w:hAnsi="宋体" w:cs="宋体"/>
        </w:rPr>
        <w:t>深圳市罗湖区政府物料供应中心</w:t>
      </w:r>
      <w:r>
        <w:rPr>
          <w:rFonts w:hint="eastAsia" w:ascii="宋体" w:hAnsi="宋体"/>
        </w:rPr>
        <w:t>可以通过修改采购文件自行决定酌情延长应答截止期。在此情况下，</w:t>
      </w:r>
      <w:r>
        <w:rPr>
          <w:rFonts w:hint="eastAsia" w:ascii="宋体" w:hAnsi="宋体" w:cs="宋体"/>
        </w:rPr>
        <w:t>深圳市罗湖区政府物料供应中心</w:t>
      </w:r>
      <w:r>
        <w:rPr>
          <w:rFonts w:hint="eastAsia" w:ascii="宋体" w:hAnsi="宋体"/>
        </w:rPr>
        <w:t>和供应商受应答截止期制约的所有权利和义务均应延长至新的截止期。在项目延期后，应答文件重新上传。</w:t>
      </w:r>
    </w:p>
    <w:p>
      <w:pPr>
        <w:ind w:firstLine="411" w:firstLineChars="196"/>
        <w:rPr>
          <w:rFonts w:ascii="宋体" w:hAnsi="宋体"/>
        </w:rPr>
      </w:pPr>
      <w:r>
        <w:rPr>
          <w:rFonts w:ascii="宋体" w:hAnsi="宋体"/>
        </w:rPr>
        <w:t>7.</w:t>
      </w:r>
      <w:r>
        <w:rPr>
          <w:rFonts w:hint="eastAsia" w:ascii="宋体" w:hAnsi="宋体"/>
        </w:rPr>
        <w:t>3应答截止时间以后不得上传应答文件。</w:t>
      </w:r>
    </w:p>
    <w:p>
      <w:pPr>
        <w:spacing w:line="360" w:lineRule="auto"/>
        <w:rPr>
          <w:rFonts w:ascii="黑体" w:hAnsi="宋体" w:eastAsia="黑体"/>
          <w:sz w:val="24"/>
        </w:rPr>
      </w:pPr>
      <w:r>
        <w:rPr>
          <w:rFonts w:ascii="黑体" w:hAnsi="宋体" w:eastAsia="黑体"/>
          <w:sz w:val="24"/>
        </w:rPr>
        <w:t>8</w:t>
      </w:r>
      <w:r>
        <w:rPr>
          <w:rFonts w:hint="eastAsia" w:ascii="黑体" w:hAnsi="宋体" w:eastAsia="黑体"/>
          <w:sz w:val="24"/>
        </w:rPr>
        <w:t>．</w:t>
      </w:r>
      <w:r>
        <w:rPr>
          <w:rFonts w:ascii="黑体" w:hAnsi="宋体" w:eastAsia="黑体"/>
          <w:sz w:val="24"/>
        </w:rPr>
        <w:t>应答文件的修改和撤销</w:t>
      </w:r>
    </w:p>
    <w:p>
      <w:pPr>
        <w:ind w:firstLine="411" w:firstLineChars="196"/>
        <w:rPr>
          <w:rFonts w:ascii="宋体" w:hAnsi="宋体"/>
        </w:rPr>
      </w:pPr>
      <w:r>
        <w:rPr>
          <w:rFonts w:ascii="宋体" w:hAnsi="宋体"/>
        </w:rPr>
        <w:t>8.</w:t>
      </w:r>
      <w:r>
        <w:rPr>
          <w:rFonts w:hint="eastAsia" w:ascii="宋体" w:hAnsi="宋体"/>
        </w:rPr>
        <w:t>1</w:t>
      </w:r>
      <w:r>
        <w:rPr>
          <w:rFonts w:ascii="宋体" w:hAnsi="宋体"/>
        </w:rPr>
        <w:t>应答方在提交应答文件后可对其应答文件进行修改</w:t>
      </w:r>
      <w:r>
        <w:rPr>
          <w:rFonts w:hint="eastAsia" w:ascii="宋体" w:hAnsi="宋体"/>
        </w:rPr>
        <w:t>并重新上传应答文件</w:t>
      </w:r>
      <w:r>
        <w:rPr>
          <w:rFonts w:ascii="宋体" w:hAnsi="宋体"/>
        </w:rPr>
        <w:t>或</w:t>
      </w:r>
      <w:r>
        <w:rPr>
          <w:rFonts w:hint="eastAsia" w:ascii="宋体" w:hAnsi="宋体"/>
        </w:rPr>
        <w:t>在网上进行</w:t>
      </w:r>
      <w:r>
        <w:rPr>
          <w:rFonts w:ascii="宋体" w:hAnsi="宋体"/>
        </w:rPr>
        <w:t>撤销</w:t>
      </w:r>
      <w:r>
        <w:rPr>
          <w:rFonts w:hint="eastAsia" w:ascii="宋体" w:hAnsi="宋体"/>
        </w:rPr>
        <w:t>应答的操作</w:t>
      </w:r>
      <w:r>
        <w:rPr>
          <w:rFonts w:ascii="宋体" w:hAnsi="宋体"/>
        </w:rPr>
        <w:t>。</w:t>
      </w:r>
    </w:p>
    <w:p>
      <w:pPr>
        <w:ind w:firstLine="411" w:firstLineChars="196"/>
        <w:rPr>
          <w:rFonts w:ascii="宋体" w:hAnsi="宋体"/>
        </w:rPr>
      </w:pPr>
      <w:r>
        <w:rPr>
          <w:rFonts w:ascii="宋体" w:hAnsi="宋体"/>
        </w:rPr>
        <w:t>8.</w:t>
      </w:r>
      <w:r>
        <w:rPr>
          <w:rFonts w:hint="eastAsia" w:ascii="宋体" w:hAnsi="宋体"/>
        </w:rPr>
        <w:t>2</w:t>
      </w:r>
      <w:r>
        <w:rPr>
          <w:rFonts w:ascii="宋体" w:hAnsi="宋体"/>
        </w:rPr>
        <w:t>应答截止时间以后不得修改应答文件。</w:t>
      </w:r>
    </w:p>
    <w:p>
      <w:pPr>
        <w:ind w:firstLine="411" w:firstLineChars="196"/>
        <w:rPr>
          <w:rFonts w:ascii="宋体" w:hAnsi="宋体"/>
        </w:rPr>
      </w:pPr>
      <w:r>
        <w:rPr>
          <w:rFonts w:ascii="宋体" w:hAnsi="宋体"/>
        </w:rPr>
        <w:t>8.</w:t>
      </w:r>
      <w:r>
        <w:rPr>
          <w:rFonts w:hint="eastAsia" w:ascii="宋体" w:hAnsi="宋体"/>
        </w:rPr>
        <w:t>3从应答截止期至供应商在应答书格式中确定的应答有效期之间的这段时间内，供应商不得撤回其应答。</w:t>
      </w:r>
    </w:p>
    <w:bookmarkEnd w:id="89"/>
    <w:bookmarkEnd w:id="90"/>
    <w:bookmarkEnd w:id="91"/>
    <w:bookmarkEnd w:id="92"/>
    <w:bookmarkEnd w:id="93"/>
    <w:bookmarkEnd w:id="94"/>
    <w:bookmarkEnd w:id="95"/>
    <w:p>
      <w:pPr>
        <w:ind w:firstLine="411" w:firstLineChars="196"/>
        <w:rPr>
          <w:rFonts w:ascii="宋体" w:hAnsi="宋体"/>
          <w:szCs w:val="21"/>
        </w:rPr>
      </w:pPr>
      <w:r>
        <w:rPr>
          <w:rFonts w:ascii="宋体" w:hAnsi="宋体"/>
          <w:szCs w:val="21"/>
        </w:rPr>
        <w:t>8</w:t>
      </w:r>
      <w:r>
        <w:rPr>
          <w:rFonts w:hint="eastAsia" w:ascii="宋体" w:hAnsi="宋体"/>
          <w:szCs w:val="21"/>
        </w:rPr>
        <w:t>.4采购机构不退还应答文件。</w:t>
      </w:r>
    </w:p>
    <w:p>
      <w:pPr>
        <w:pStyle w:val="7"/>
      </w:pPr>
      <w:bookmarkStart w:id="96" w:name="bt开标"/>
      <w:bookmarkEnd w:id="96"/>
      <w:bookmarkStart w:id="97" w:name="_Toc73521662"/>
      <w:bookmarkStart w:id="98" w:name="_Toc73518144"/>
      <w:bookmarkStart w:id="99" w:name="_Toc194467304"/>
      <w:bookmarkStart w:id="100" w:name="_Toc100052391"/>
      <w:bookmarkStart w:id="101" w:name="_Toc73521574"/>
      <w:bookmarkStart w:id="102" w:name="_Toc73517666"/>
      <w:bookmarkStart w:id="103" w:name="_Toc101074881"/>
      <w:r>
        <w:rPr>
          <w:rFonts w:hint="eastAsia"/>
        </w:rPr>
        <w:t>第四章 开标</w:t>
      </w:r>
      <w:bookmarkEnd w:id="97"/>
      <w:bookmarkEnd w:id="98"/>
      <w:bookmarkEnd w:id="99"/>
      <w:bookmarkEnd w:id="100"/>
      <w:bookmarkEnd w:id="101"/>
      <w:bookmarkEnd w:id="102"/>
      <w:bookmarkEnd w:id="103"/>
    </w:p>
    <w:p>
      <w:pPr>
        <w:spacing w:line="360" w:lineRule="auto"/>
        <w:rPr>
          <w:rFonts w:ascii="黑体" w:hAnsi="宋体" w:eastAsia="黑体"/>
          <w:sz w:val="24"/>
        </w:rPr>
      </w:pPr>
      <w:bookmarkStart w:id="104" w:name="_Toc73517667"/>
      <w:bookmarkStart w:id="105" w:name="_Toc73521663"/>
      <w:bookmarkStart w:id="106" w:name="_Toc100052392"/>
      <w:bookmarkStart w:id="107" w:name="_Toc60560655"/>
      <w:bookmarkStart w:id="108" w:name="_Toc73521575"/>
      <w:bookmarkStart w:id="109" w:name="_Toc60631650"/>
      <w:bookmarkStart w:id="110" w:name="_Toc73518145"/>
      <w:r>
        <w:rPr>
          <w:rFonts w:ascii="黑体" w:hAnsi="宋体" w:eastAsia="黑体"/>
          <w:sz w:val="24"/>
        </w:rPr>
        <w:t>9</w:t>
      </w:r>
      <w:r>
        <w:rPr>
          <w:rFonts w:hint="eastAsia" w:ascii="黑体" w:hAnsi="宋体" w:eastAsia="黑体"/>
          <w:sz w:val="24"/>
        </w:rPr>
        <w:t>．开标</w:t>
      </w:r>
      <w:bookmarkEnd w:id="104"/>
      <w:bookmarkEnd w:id="105"/>
      <w:bookmarkEnd w:id="106"/>
      <w:bookmarkEnd w:id="107"/>
      <w:bookmarkEnd w:id="108"/>
      <w:bookmarkEnd w:id="109"/>
      <w:bookmarkEnd w:id="110"/>
    </w:p>
    <w:p>
      <w:pPr>
        <w:ind w:firstLine="411" w:firstLineChars="196"/>
        <w:rPr>
          <w:rFonts w:ascii="宋体" w:hAnsi="宋体"/>
          <w:szCs w:val="21"/>
        </w:rPr>
      </w:pPr>
      <w:r>
        <w:rPr>
          <w:rFonts w:ascii="宋体" w:hAnsi="宋体"/>
          <w:szCs w:val="21"/>
        </w:rPr>
        <w:t>采购机构</w:t>
      </w:r>
      <w:r>
        <w:rPr>
          <w:rFonts w:hint="eastAsia" w:ascii="宋体" w:hAnsi="宋体"/>
          <w:szCs w:val="21"/>
        </w:rPr>
        <w:t>将在应答截止时间后，对应答文件进行开标，并在网上公布开标结果。</w:t>
      </w:r>
    </w:p>
    <w:p>
      <w:pPr>
        <w:pStyle w:val="7"/>
      </w:pPr>
      <w:bookmarkStart w:id="111" w:name="bt评标"/>
      <w:bookmarkEnd w:id="111"/>
      <w:bookmarkStart w:id="112" w:name="_Toc73521664"/>
      <w:bookmarkStart w:id="113" w:name="_Toc73517668"/>
      <w:bookmarkStart w:id="114" w:name="_Toc73521576"/>
      <w:bookmarkStart w:id="115" w:name="_Toc73518146"/>
      <w:bookmarkStart w:id="116" w:name="_Toc100052393"/>
      <w:bookmarkStart w:id="117" w:name="_Toc101074882"/>
      <w:bookmarkStart w:id="118" w:name="_Toc194467305"/>
      <w:r>
        <w:rPr>
          <w:rFonts w:hint="eastAsia"/>
        </w:rPr>
        <w:t>第五章 评审</w:t>
      </w:r>
      <w:bookmarkEnd w:id="112"/>
      <w:bookmarkEnd w:id="113"/>
      <w:bookmarkEnd w:id="114"/>
      <w:bookmarkEnd w:id="115"/>
      <w:r>
        <w:rPr>
          <w:rFonts w:hint="eastAsia"/>
        </w:rPr>
        <w:t>要求</w:t>
      </w:r>
      <w:bookmarkEnd w:id="116"/>
      <w:bookmarkEnd w:id="117"/>
      <w:bookmarkEnd w:id="118"/>
    </w:p>
    <w:p>
      <w:pPr>
        <w:spacing w:line="360" w:lineRule="auto"/>
        <w:rPr>
          <w:rFonts w:ascii="黑体" w:hAnsi="宋体" w:eastAsia="黑体"/>
          <w:sz w:val="24"/>
        </w:rPr>
      </w:pPr>
      <w:bookmarkStart w:id="119" w:name="bt评标会议"/>
      <w:bookmarkEnd w:id="119"/>
      <w:bookmarkStart w:id="120" w:name="_Toc73521665"/>
      <w:bookmarkStart w:id="121" w:name="_Toc73521577"/>
      <w:bookmarkStart w:id="122" w:name="_Toc73518147"/>
      <w:bookmarkStart w:id="123" w:name="_Toc73517669"/>
      <w:bookmarkStart w:id="124" w:name="_Toc100052394"/>
      <w:r>
        <w:rPr>
          <w:rFonts w:ascii="黑体" w:hAnsi="宋体" w:eastAsia="黑体"/>
          <w:sz w:val="24"/>
        </w:rPr>
        <w:t>10</w:t>
      </w:r>
      <w:r>
        <w:rPr>
          <w:rFonts w:hint="eastAsia" w:ascii="黑体" w:hAnsi="宋体" w:eastAsia="黑体"/>
          <w:sz w:val="24"/>
        </w:rPr>
        <w:t>．评审会议</w:t>
      </w:r>
    </w:p>
    <w:p>
      <w:pPr>
        <w:ind w:firstLine="411" w:firstLineChars="196"/>
        <w:rPr>
          <w:rFonts w:ascii="宋体" w:hAnsi="宋体"/>
          <w:b/>
          <w:bCs/>
        </w:rPr>
      </w:pPr>
      <w:r>
        <w:rPr>
          <w:rFonts w:ascii="宋体" w:hAnsi="宋体"/>
        </w:rPr>
        <w:t>10.</w:t>
      </w:r>
      <w:r>
        <w:rPr>
          <w:rFonts w:hint="eastAsia" w:ascii="宋体" w:hAnsi="宋体"/>
        </w:rPr>
        <w:t>1网上开标结束后召开评审会议，评审委员会由采购机构组建，负责评审活动。评审委员会由使用单位代表和有关技术、经济等方面的专家组成，成员人数为五人以上单数，其中技术、经济等方面的专家不少于成员总数的三分之二。</w:t>
      </w:r>
    </w:p>
    <w:p>
      <w:pPr>
        <w:ind w:firstLine="411" w:firstLineChars="196"/>
        <w:rPr>
          <w:rFonts w:ascii="宋体" w:hAnsi="宋体"/>
          <w:b/>
          <w:bCs/>
        </w:rPr>
      </w:pPr>
      <w:r>
        <w:rPr>
          <w:rFonts w:ascii="宋体" w:hAnsi="宋体"/>
        </w:rPr>
        <w:t>10</w:t>
      </w:r>
      <w:r>
        <w:rPr>
          <w:rFonts w:hint="eastAsia" w:ascii="宋体" w:hAnsi="宋体"/>
        </w:rPr>
        <w:t>.2</w:t>
      </w:r>
      <w:r>
        <w:rPr>
          <w:rFonts w:hint="eastAsia" w:ascii="宋体" w:hAnsi="宋体"/>
          <w:b/>
          <w:bCs/>
        </w:rPr>
        <w:t xml:space="preserve"> 开标后，直到授予成交供应商合同为止，凡属于对应答文件的审查、澄清、评价和比较的有关资料以及成交候选人的推荐情况、与评审有关的其他任何情况均严格保密。</w:t>
      </w:r>
    </w:p>
    <w:p>
      <w:pPr>
        <w:spacing w:line="360" w:lineRule="auto"/>
        <w:rPr>
          <w:rFonts w:ascii="黑体" w:hAnsi="宋体" w:eastAsia="黑体"/>
          <w:sz w:val="24"/>
        </w:rPr>
      </w:pPr>
      <w:r>
        <w:rPr>
          <w:rFonts w:ascii="黑体" w:hAnsi="宋体" w:eastAsia="黑体"/>
          <w:sz w:val="24"/>
        </w:rPr>
        <w:t>11</w:t>
      </w:r>
      <w:r>
        <w:rPr>
          <w:rFonts w:hint="eastAsia" w:ascii="黑体" w:hAnsi="宋体" w:eastAsia="黑体"/>
          <w:sz w:val="24"/>
        </w:rPr>
        <w:t>．向评审委员会提供的资料</w:t>
      </w:r>
    </w:p>
    <w:p>
      <w:pPr>
        <w:ind w:firstLine="411" w:firstLineChars="196"/>
        <w:rPr>
          <w:rFonts w:ascii="宋体" w:hAnsi="宋体"/>
        </w:rPr>
      </w:pPr>
      <w:r>
        <w:rPr>
          <w:rFonts w:ascii="宋体" w:hAnsi="宋体"/>
        </w:rPr>
        <w:t>11</w:t>
      </w:r>
      <w:r>
        <w:rPr>
          <w:rFonts w:hint="eastAsia" w:ascii="宋体" w:hAnsi="宋体"/>
        </w:rPr>
        <w:t>.1公开发布的采购文件，包括图纸、服务清单、答疑文件等；</w:t>
      </w:r>
    </w:p>
    <w:p>
      <w:pPr>
        <w:ind w:firstLine="411" w:firstLineChars="196"/>
        <w:rPr>
          <w:rFonts w:ascii="宋体" w:hAnsi="宋体"/>
        </w:rPr>
      </w:pPr>
      <w:r>
        <w:rPr>
          <w:rFonts w:ascii="宋体" w:hAnsi="宋体"/>
        </w:rPr>
        <w:t>11</w:t>
      </w:r>
      <w:r>
        <w:rPr>
          <w:rFonts w:hint="eastAsia" w:ascii="宋体" w:hAnsi="宋体"/>
        </w:rPr>
        <w:t>.2其他评审必须的资料。</w:t>
      </w:r>
    </w:p>
    <w:p>
      <w:pPr>
        <w:ind w:firstLine="411" w:firstLineChars="196"/>
        <w:rPr>
          <w:rFonts w:ascii="宋体" w:hAnsi="宋体"/>
        </w:rPr>
      </w:pPr>
      <w:r>
        <w:rPr>
          <w:rFonts w:ascii="宋体" w:hAnsi="宋体"/>
        </w:rPr>
        <w:t>11</w:t>
      </w:r>
      <w:r>
        <w:rPr>
          <w:rFonts w:hint="eastAsia" w:ascii="宋体" w:hAnsi="宋体"/>
        </w:rPr>
        <w:t>.3评审委员会应当认真研究采购文件，至少应了解熟悉以下内容：</w:t>
      </w:r>
    </w:p>
    <w:p>
      <w:pPr>
        <w:ind w:firstLine="411" w:firstLineChars="196"/>
        <w:rPr>
          <w:rFonts w:ascii="宋体" w:hAnsi="宋体"/>
        </w:rPr>
      </w:pPr>
      <w:r>
        <w:rPr>
          <w:rFonts w:hint="eastAsia" w:ascii="宋体" w:hAnsi="宋体"/>
        </w:rPr>
        <w:t>（1）采购的目的；</w:t>
      </w:r>
    </w:p>
    <w:p>
      <w:pPr>
        <w:ind w:firstLine="411" w:firstLineChars="196"/>
        <w:rPr>
          <w:rFonts w:ascii="宋体" w:hAnsi="宋体"/>
        </w:rPr>
      </w:pPr>
      <w:r>
        <w:rPr>
          <w:rFonts w:hint="eastAsia" w:ascii="宋体" w:hAnsi="宋体"/>
        </w:rPr>
        <w:t>（2）采购项目需求的范围和性质；</w:t>
      </w:r>
    </w:p>
    <w:p>
      <w:pPr>
        <w:ind w:firstLine="411" w:firstLineChars="196"/>
        <w:rPr>
          <w:rFonts w:ascii="宋体" w:hAnsi="宋体"/>
        </w:rPr>
      </w:pPr>
      <w:r>
        <w:rPr>
          <w:rFonts w:hint="eastAsia" w:ascii="宋体" w:hAnsi="宋体"/>
        </w:rPr>
        <w:t>（3）采购文件规定的供应商的资质、项目预算金额、商务条款；</w:t>
      </w:r>
    </w:p>
    <w:p>
      <w:pPr>
        <w:ind w:firstLine="411" w:firstLineChars="196"/>
        <w:rPr>
          <w:rFonts w:ascii="宋体" w:hAnsi="宋体"/>
        </w:rPr>
      </w:pPr>
      <w:r>
        <w:rPr>
          <w:rFonts w:hint="eastAsia" w:ascii="宋体" w:hAnsi="宋体"/>
        </w:rPr>
        <w:t>（4）采购文件规定的评审程序、评审方法和评审因素；</w:t>
      </w:r>
    </w:p>
    <w:p>
      <w:pPr>
        <w:ind w:firstLine="411" w:firstLineChars="196"/>
        <w:rPr>
          <w:rFonts w:ascii="宋体" w:hAnsi="宋体"/>
        </w:rPr>
      </w:pPr>
      <w:r>
        <w:rPr>
          <w:rFonts w:hint="eastAsia" w:ascii="宋体" w:hAnsi="宋体"/>
        </w:rPr>
        <w:t>（5）采购文件所列示的投标无效条件；</w:t>
      </w:r>
    </w:p>
    <w:p>
      <w:pPr>
        <w:ind w:firstLine="411" w:firstLineChars="196"/>
        <w:rPr>
          <w:rFonts w:ascii="宋体" w:hAnsi="宋体"/>
        </w:rPr>
      </w:pPr>
      <w:r>
        <w:rPr>
          <w:rFonts w:ascii="宋体" w:hAnsi="宋体"/>
        </w:rPr>
        <w:t>11</w:t>
      </w:r>
      <w:r>
        <w:rPr>
          <w:rFonts w:hint="eastAsia" w:ascii="宋体" w:hAnsi="宋体"/>
        </w:rPr>
        <w:t>.4 应答文件。</w:t>
      </w:r>
    </w:p>
    <w:p>
      <w:pPr>
        <w:spacing w:line="360" w:lineRule="auto"/>
        <w:rPr>
          <w:rFonts w:ascii="黑体" w:hAnsi="宋体" w:eastAsia="黑体"/>
          <w:sz w:val="24"/>
        </w:rPr>
      </w:pPr>
      <w:r>
        <w:rPr>
          <w:rFonts w:ascii="黑体" w:hAnsi="宋体" w:eastAsia="黑体"/>
          <w:sz w:val="24"/>
        </w:rPr>
        <w:t>12</w:t>
      </w:r>
      <w:r>
        <w:rPr>
          <w:rFonts w:hint="eastAsia" w:ascii="黑体" w:hAnsi="宋体" w:eastAsia="黑体"/>
          <w:sz w:val="24"/>
        </w:rPr>
        <w:t>．独立评审及评审程序</w:t>
      </w:r>
    </w:p>
    <w:p>
      <w:pPr>
        <w:ind w:firstLine="413" w:firstLineChars="196"/>
        <w:rPr>
          <w:rFonts w:ascii="宋体" w:hAnsi="宋体"/>
          <w:b/>
          <w:bCs/>
          <w:szCs w:val="21"/>
        </w:rPr>
      </w:pPr>
      <w:r>
        <w:rPr>
          <w:rFonts w:ascii="宋体" w:hAnsi="宋体"/>
          <w:b/>
          <w:bCs/>
        </w:rPr>
        <w:t>12</w:t>
      </w:r>
      <w:r>
        <w:rPr>
          <w:rFonts w:hint="eastAsia" w:ascii="宋体" w:hAnsi="宋体"/>
          <w:b/>
          <w:bCs/>
        </w:rPr>
        <w:t>.1评审委员会成员的评审活动应当独立进行，并应遵循应答文件初审、澄清有关问题、比较与评价、确定成交供应商、编写评审报告的工作程序。</w:t>
      </w:r>
      <w:bookmarkEnd w:id="120"/>
      <w:bookmarkEnd w:id="121"/>
      <w:bookmarkEnd w:id="122"/>
      <w:bookmarkEnd w:id="123"/>
      <w:bookmarkEnd w:id="124"/>
      <w:bookmarkStart w:id="125" w:name="bt评标过程的保密"/>
      <w:bookmarkEnd w:id="125"/>
      <w:bookmarkStart w:id="126" w:name="bt错误的修正"/>
      <w:bookmarkEnd w:id="126"/>
    </w:p>
    <w:p>
      <w:pPr>
        <w:pStyle w:val="7"/>
      </w:pPr>
      <w:bookmarkStart w:id="127" w:name="_Toc194467306"/>
      <w:bookmarkStart w:id="128" w:name="_Toc101074883"/>
      <w:bookmarkStart w:id="129" w:name="_Toc100052397"/>
      <w:r>
        <w:rPr>
          <w:rFonts w:hint="eastAsia"/>
        </w:rPr>
        <w:t>第六章 评审程序</w:t>
      </w:r>
      <w:bookmarkStart w:id="130" w:name="bt投标文件的审查"/>
      <w:bookmarkEnd w:id="130"/>
      <w:bookmarkStart w:id="131" w:name="_Toc73521667"/>
      <w:bookmarkStart w:id="132" w:name="_Toc73521579"/>
      <w:bookmarkStart w:id="133" w:name="_Toc73518149"/>
      <w:bookmarkStart w:id="134" w:name="_Toc73517671"/>
      <w:r>
        <w:rPr>
          <w:rFonts w:hint="eastAsia"/>
        </w:rPr>
        <w:t>及评审方法</w:t>
      </w:r>
      <w:bookmarkEnd w:id="127"/>
      <w:bookmarkEnd w:id="128"/>
      <w:bookmarkEnd w:id="129"/>
    </w:p>
    <w:p>
      <w:pPr>
        <w:spacing w:line="360" w:lineRule="auto"/>
        <w:rPr>
          <w:rFonts w:ascii="黑体" w:hAnsi="宋体" w:eastAsia="黑体"/>
          <w:sz w:val="24"/>
        </w:rPr>
      </w:pPr>
      <w:bookmarkStart w:id="135" w:name="_Toc100052398"/>
      <w:r>
        <w:rPr>
          <w:rFonts w:ascii="黑体" w:hAnsi="宋体" w:eastAsia="黑体"/>
          <w:sz w:val="24"/>
        </w:rPr>
        <w:t>13</w:t>
      </w:r>
      <w:r>
        <w:rPr>
          <w:rFonts w:hint="eastAsia" w:ascii="黑体" w:hAnsi="宋体" w:eastAsia="黑体"/>
          <w:sz w:val="24"/>
        </w:rPr>
        <w:t>．应答文件初审</w:t>
      </w:r>
      <w:bookmarkEnd w:id="135"/>
    </w:p>
    <w:bookmarkEnd w:id="131"/>
    <w:bookmarkEnd w:id="132"/>
    <w:bookmarkEnd w:id="133"/>
    <w:bookmarkEnd w:id="134"/>
    <w:p>
      <w:pPr>
        <w:ind w:firstLine="411" w:firstLineChars="196"/>
        <w:rPr>
          <w:rFonts w:ascii="宋体" w:hAnsi="宋体"/>
        </w:rPr>
      </w:pPr>
      <w:bookmarkStart w:id="136" w:name="_Toc100052399"/>
      <w:r>
        <w:rPr>
          <w:rFonts w:ascii="宋体" w:hAnsi="宋体"/>
        </w:rPr>
        <w:t>13</w:t>
      </w:r>
      <w:r>
        <w:rPr>
          <w:rFonts w:hint="eastAsia" w:ascii="宋体" w:hAnsi="宋体"/>
        </w:rPr>
        <w:t>.1应答文件初审包括资格性检查和符合性检查。资格性检查：依据法律法规和采购文件的规定，对应答文件中的资格证明、等进行审查，以确定供应商是否具备应答资格。符合性检查：依据采购文件的规定，从应答文件的有效性、完整性和对采购文件的响应程度进行审查，以确定是否对采购文件的实质性要求作出响应。</w:t>
      </w:r>
    </w:p>
    <w:p>
      <w:pPr>
        <w:ind w:firstLine="411" w:firstLineChars="196"/>
        <w:rPr>
          <w:rFonts w:ascii="宋体" w:hAnsi="宋体"/>
        </w:rPr>
      </w:pPr>
      <w:r>
        <w:rPr>
          <w:rFonts w:ascii="宋体" w:hAnsi="宋体"/>
        </w:rPr>
        <w:t>13</w:t>
      </w:r>
      <w:r>
        <w:rPr>
          <w:rFonts w:hint="eastAsia" w:ascii="宋体" w:hAnsi="宋体"/>
        </w:rPr>
        <w:t>.2</w:t>
      </w:r>
      <w:r>
        <w:rPr>
          <w:rFonts w:hint="eastAsia" w:ascii="宋体" w:hAnsi="宋体"/>
          <w:b/>
        </w:rPr>
        <w:t>应答文件初审内容请详见“关键信息”中的《应答文件初审表》部分。供应商若有一条审查不通过则按投标无效处理。</w:t>
      </w:r>
    </w:p>
    <w:p>
      <w:pPr>
        <w:ind w:firstLine="411" w:firstLineChars="196"/>
        <w:rPr>
          <w:rFonts w:ascii="宋体" w:hAnsi="宋体"/>
        </w:rPr>
      </w:pPr>
      <w:r>
        <w:rPr>
          <w:rFonts w:ascii="宋体" w:hAnsi="宋体"/>
        </w:rPr>
        <w:t>13</w:t>
      </w:r>
      <w:r>
        <w:rPr>
          <w:rFonts w:hint="eastAsia" w:ascii="宋体" w:hAnsi="宋体"/>
        </w:rPr>
        <w:t>.3对不属于应答文件初审表所列的其他情形，除法律法规另有规定外，不得作为投标无效的理由。</w:t>
      </w:r>
    </w:p>
    <w:p>
      <w:pPr>
        <w:spacing w:line="360" w:lineRule="auto"/>
        <w:rPr>
          <w:rFonts w:ascii="黑体" w:hAnsi="宋体" w:eastAsia="黑体"/>
          <w:sz w:val="24"/>
        </w:rPr>
      </w:pPr>
      <w:r>
        <w:rPr>
          <w:rFonts w:ascii="黑体" w:hAnsi="宋体" w:eastAsia="黑体"/>
          <w:sz w:val="24"/>
        </w:rPr>
        <w:t>14</w:t>
      </w:r>
      <w:r>
        <w:rPr>
          <w:rFonts w:hint="eastAsia" w:ascii="黑体" w:hAnsi="宋体" w:eastAsia="黑体"/>
          <w:sz w:val="24"/>
        </w:rPr>
        <w:t>．澄清有关问题</w:t>
      </w:r>
      <w:bookmarkEnd w:id="136"/>
    </w:p>
    <w:p>
      <w:pPr>
        <w:ind w:firstLine="411" w:firstLineChars="196"/>
        <w:rPr>
          <w:rFonts w:ascii="宋体" w:hAnsi="宋体"/>
          <w:szCs w:val="21"/>
        </w:rPr>
      </w:pPr>
      <w:bookmarkStart w:id="137" w:name="bt投标文件的澄清"/>
      <w:bookmarkEnd w:id="137"/>
      <w:bookmarkStart w:id="138" w:name="bt投标文件的评估和比较"/>
      <w:bookmarkEnd w:id="138"/>
      <w:bookmarkStart w:id="139" w:name="bt废标"/>
      <w:bookmarkEnd w:id="139"/>
      <w:bookmarkStart w:id="140" w:name="_Toc73521671"/>
      <w:bookmarkStart w:id="141" w:name="_Toc73518153"/>
      <w:bookmarkStart w:id="142" w:name="_Toc73521583"/>
      <w:bookmarkStart w:id="143" w:name="_Toc73517675"/>
      <w:r>
        <w:rPr>
          <w:rFonts w:ascii="宋体" w:hAnsi="宋体"/>
          <w:szCs w:val="21"/>
        </w:rPr>
        <w:t>14</w:t>
      </w:r>
      <w:r>
        <w:rPr>
          <w:rFonts w:hint="eastAsia" w:ascii="宋体" w:hAnsi="宋体"/>
          <w:szCs w:val="21"/>
        </w:rPr>
        <w:t>.1为了有助于应答文件的审查、评价和比较，对应答文件含义不明确、同类问题表述不一致或者有明显文字和计算错误的内容，评审委员会可以用书面形式(应当由评审委员会签字)或者通过网络电子数据方式要求供应商做出必要的澄清、说明或者纠正。供应商的澄清、说明或者补正应当用采用书面形式（由其授权的代表签字）或者通过网络的电子数据方式，并不得超出应答文件的范围或者改变应答文件的实质性的内容。</w:t>
      </w:r>
    </w:p>
    <w:p>
      <w:pPr>
        <w:ind w:firstLine="411" w:firstLineChars="196"/>
        <w:rPr>
          <w:rFonts w:ascii="宋体" w:hAnsi="宋体"/>
          <w:color w:val="FF0000"/>
          <w:szCs w:val="21"/>
        </w:rPr>
      </w:pPr>
      <w:r>
        <w:rPr>
          <w:rFonts w:hint="eastAsia" w:ascii="宋体" w:hAnsi="宋体"/>
          <w:color w:val="FF0000"/>
          <w:szCs w:val="21"/>
        </w:rPr>
        <w:t>1</w:t>
      </w:r>
      <w:r>
        <w:rPr>
          <w:rFonts w:ascii="宋体" w:hAnsi="宋体"/>
          <w:color w:val="FF0000"/>
          <w:szCs w:val="21"/>
        </w:rPr>
        <w:t>4.2</w:t>
      </w:r>
      <w:r>
        <w:rPr>
          <w:rFonts w:hint="eastAsia" w:ascii="宋体" w:hAnsi="宋体"/>
          <w:color w:val="FF0000"/>
          <w:szCs w:val="21"/>
        </w:rPr>
        <w:t>投标人的澄清、说明或者补正应当采用书面形式，并加盖公章，或者由法定代表人或其授权的代表签名，且务必在接到电话通知的120分钟内递交澄清材料。如不按时送达或拒送材料的，该投标人的投标将视为投标响应不足，评标委员会将终止对该投标人的标书评审，投标文件将视为弃标，评标中止。</w:t>
      </w:r>
    </w:p>
    <w:p>
      <w:pPr>
        <w:spacing w:line="360" w:lineRule="auto"/>
        <w:rPr>
          <w:rFonts w:ascii="黑体" w:hAnsi="宋体" w:eastAsia="黑体"/>
          <w:sz w:val="24"/>
        </w:rPr>
      </w:pPr>
      <w:bookmarkStart w:id="144" w:name="_Toc73521669"/>
      <w:bookmarkStart w:id="145" w:name="_Toc73521581"/>
      <w:bookmarkStart w:id="146" w:name="_Toc100052400"/>
      <w:bookmarkStart w:id="147" w:name="_Toc73517673"/>
      <w:bookmarkStart w:id="148" w:name="_Toc73518151"/>
      <w:r>
        <w:rPr>
          <w:rFonts w:ascii="黑体" w:hAnsi="宋体" w:eastAsia="黑体"/>
          <w:sz w:val="24"/>
        </w:rPr>
        <w:t>15</w:t>
      </w:r>
      <w:r>
        <w:rPr>
          <w:rFonts w:hint="eastAsia" w:ascii="黑体" w:hAnsi="宋体" w:eastAsia="黑体"/>
          <w:sz w:val="24"/>
        </w:rPr>
        <w:t>．错误的修正</w:t>
      </w:r>
      <w:bookmarkEnd w:id="144"/>
      <w:bookmarkEnd w:id="145"/>
      <w:bookmarkEnd w:id="146"/>
      <w:bookmarkEnd w:id="147"/>
      <w:bookmarkEnd w:id="148"/>
    </w:p>
    <w:p>
      <w:pPr>
        <w:ind w:firstLine="411" w:firstLineChars="196"/>
        <w:rPr>
          <w:rFonts w:ascii="宋体" w:hAnsi="宋体"/>
          <w:szCs w:val="21"/>
        </w:rPr>
      </w:pPr>
      <w:r>
        <w:rPr>
          <w:rFonts w:ascii="宋体" w:hAnsi="宋体"/>
          <w:szCs w:val="21"/>
        </w:rPr>
        <w:t>15</w:t>
      </w:r>
      <w:r>
        <w:rPr>
          <w:rFonts w:hint="eastAsia" w:ascii="宋体" w:hAnsi="宋体"/>
          <w:szCs w:val="21"/>
        </w:rPr>
        <w:t>.1评审委员会将对确定为实质上响应采购文件要求的应答文件进行校核，看其是否有计算上、累计上或表达上的错误，修正错误的原则如下：</w:t>
      </w:r>
    </w:p>
    <w:p>
      <w:pPr>
        <w:ind w:firstLine="411" w:firstLineChars="196"/>
        <w:rPr>
          <w:rFonts w:ascii="宋体" w:hAnsi="宋体"/>
          <w:szCs w:val="21"/>
        </w:rPr>
      </w:pPr>
      <w:r>
        <w:rPr>
          <w:rFonts w:ascii="宋体" w:hAnsi="宋体"/>
          <w:szCs w:val="21"/>
        </w:rPr>
        <w:t>(1)</w:t>
      </w:r>
      <w:r>
        <w:rPr>
          <w:rFonts w:hint="eastAsia" w:ascii="宋体" w:hAnsi="宋体"/>
          <w:szCs w:val="21"/>
        </w:rPr>
        <w:t>如果数字表示的金额和用文字表示的金额不一致时，应以文字表示的金额为准；</w:t>
      </w:r>
    </w:p>
    <w:p>
      <w:pPr>
        <w:ind w:firstLine="411" w:firstLineChars="196"/>
        <w:rPr>
          <w:rFonts w:ascii="宋体" w:hAnsi="宋体"/>
          <w:szCs w:val="21"/>
        </w:rPr>
      </w:pPr>
      <w:r>
        <w:rPr>
          <w:rFonts w:ascii="宋体" w:hAnsi="宋体"/>
          <w:szCs w:val="21"/>
        </w:rPr>
        <w:t>(2)</w:t>
      </w:r>
      <w:r>
        <w:rPr>
          <w:rFonts w:hint="eastAsia" w:ascii="宋体" w:hAnsi="宋体"/>
          <w:szCs w:val="21"/>
        </w:rPr>
        <w:t>当综合单价与数量的乘积与合价不一致时，以综合单价为准，除非评审委员会认为综合单价有明显的小数点错误，此时应以标出的合价为准，并修改综合单价。</w:t>
      </w:r>
    </w:p>
    <w:p>
      <w:pPr>
        <w:spacing w:line="360" w:lineRule="auto"/>
        <w:rPr>
          <w:rFonts w:ascii="黑体" w:hAnsi="宋体" w:eastAsia="黑体"/>
          <w:sz w:val="24"/>
        </w:rPr>
      </w:pPr>
      <w:bookmarkStart w:id="149" w:name="_Toc100052401"/>
      <w:r>
        <w:rPr>
          <w:rFonts w:ascii="黑体" w:hAnsi="宋体" w:eastAsia="黑体"/>
          <w:sz w:val="24"/>
        </w:rPr>
        <w:t>16</w:t>
      </w:r>
      <w:r>
        <w:rPr>
          <w:rFonts w:hint="eastAsia" w:ascii="黑体" w:hAnsi="宋体" w:eastAsia="黑体"/>
          <w:sz w:val="24"/>
        </w:rPr>
        <w:t>．应答文件的</w:t>
      </w:r>
      <w:bookmarkEnd w:id="140"/>
      <w:bookmarkEnd w:id="141"/>
      <w:bookmarkEnd w:id="142"/>
      <w:bookmarkEnd w:id="143"/>
      <w:r>
        <w:rPr>
          <w:rFonts w:hint="eastAsia" w:ascii="黑体" w:hAnsi="宋体" w:eastAsia="黑体"/>
          <w:sz w:val="24"/>
        </w:rPr>
        <w:t>比较与评价</w:t>
      </w:r>
      <w:bookmarkEnd w:id="149"/>
    </w:p>
    <w:p>
      <w:pPr>
        <w:ind w:firstLine="411" w:firstLineChars="196"/>
        <w:rPr>
          <w:rFonts w:ascii="宋体" w:hAnsi="宋体"/>
          <w:szCs w:val="21"/>
        </w:rPr>
      </w:pPr>
      <w:r>
        <w:rPr>
          <w:rFonts w:hint="eastAsia" w:ascii="宋体" w:hAnsi="宋体"/>
          <w:szCs w:val="21"/>
        </w:rPr>
        <w:t>评审委员会将参照《中华人民共和国政府采购法》及《深圳市政府采购评审委员会和评标方法暂行规定》，参照相关法律、法规、规定，仅对通过资格审查和符合性审查的应答文件进行综合比较与评价。</w:t>
      </w:r>
    </w:p>
    <w:p>
      <w:pPr>
        <w:spacing w:line="360" w:lineRule="auto"/>
        <w:rPr>
          <w:rFonts w:ascii="黑体" w:hAnsi="宋体" w:eastAsia="黑体"/>
          <w:sz w:val="24"/>
        </w:rPr>
      </w:pPr>
      <w:bookmarkStart w:id="150" w:name="_Toc100052402"/>
      <w:bookmarkStart w:id="151" w:name="_Toc73517677"/>
      <w:bookmarkStart w:id="152" w:name="_Toc73518155"/>
      <w:bookmarkStart w:id="153" w:name="_Toc100052403"/>
      <w:bookmarkStart w:id="154" w:name="_Toc73521673"/>
      <w:bookmarkStart w:id="155" w:name="_Toc60631660"/>
      <w:bookmarkStart w:id="156" w:name="_Toc73521585"/>
      <w:bookmarkStart w:id="157" w:name="_Toc60560665"/>
      <w:r>
        <w:rPr>
          <w:rFonts w:ascii="黑体" w:hAnsi="宋体" w:eastAsia="黑体"/>
          <w:sz w:val="24"/>
        </w:rPr>
        <w:t>17</w:t>
      </w:r>
      <w:r>
        <w:rPr>
          <w:rFonts w:hint="eastAsia" w:ascii="黑体" w:hAnsi="宋体" w:eastAsia="黑体"/>
          <w:sz w:val="24"/>
        </w:rPr>
        <w:t>．评审方法</w:t>
      </w:r>
      <w:bookmarkEnd w:id="150"/>
    </w:p>
    <w:p>
      <w:pPr>
        <w:ind w:firstLine="413" w:firstLineChars="196"/>
        <w:rPr>
          <w:rFonts w:ascii="宋体" w:hAnsi="宋体"/>
          <w:b/>
          <w:bCs/>
          <w:szCs w:val="21"/>
        </w:rPr>
      </w:pPr>
      <w:bookmarkStart w:id="158" w:name="评标方法2"/>
      <w:r>
        <w:rPr>
          <w:rFonts w:hint="eastAsia" w:ascii="宋体" w:hAnsi="宋体"/>
          <w:b/>
          <w:bCs/>
          <w:szCs w:val="21"/>
        </w:rPr>
        <w:t>综合评分法</w:t>
      </w:r>
      <w:bookmarkEnd w:id="158"/>
    </w:p>
    <w:p>
      <w:pPr>
        <w:ind w:firstLine="411" w:firstLineChars="196"/>
        <w:rPr>
          <w:rFonts w:ascii="宋体" w:hAnsi="宋体"/>
          <w:bCs/>
          <w:szCs w:val="21"/>
        </w:rPr>
      </w:pPr>
      <w:bookmarkStart w:id="159" w:name="评标方法3"/>
      <w:r>
        <w:rPr>
          <w:rFonts w:hint="eastAsia" w:ascii="宋体" w:hAnsi="宋体"/>
          <w:bCs/>
          <w:szCs w:val="21"/>
        </w:rPr>
        <w:t>综合评分法是指在最大限度地满足采购文件实质性要求前提下，按照采购文件中规定的各项因素进行量化打分，每个供应商的总得分以专家平均汇总分确定，以评审总得分最高的供应商作为成交候选供应商或成交供应商的评审方法。</w:t>
      </w:r>
    </w:p>
    <w:p>
      <w:pPr>
        <w:ind w:firstLine="413" w:firstLineChars="196"/>
        <w:rPr>
          <w:rFonts w:ascii="宋体" w:hAnsi="宋体"/>
          <w:b/>
          <w:bCs/>
          <w:szCs w:val="21"/>
        </w:rPr>
      </w:pPr>
      <w:r>
        <w:rPr>
          <w:rFonts w:hint="eastAsia" w:ascii="宋体" w:hAnsi="宋体"/>
          <w:b/>
          <w:bCs/>
          <w:szCs w:val="21"/>
        </w:rPr>
        <w:t>本项目采用评审方法：</w:t>
      </w:r>
      <w:bookmarkEnd w:id="159"/>
      <w:r>
        <w:rPr>
          <w:rFonts w:hint="eastAsia" w:ascii="宋体" w:hAnsi="宋体"/>
          <w:b/>
          <w:bCs/>
          <w:szCs w:val="21"/>
        </w:rPr>
        <w:t>综合评分法。</w:t>
      </w:r>
    </w:p>
    <w:bookmarkEnd w:id="151"/>
    <w:bookmarkEnd w:id="152"/>
    <w:bookmarkEnd w:id="153"/>
    <w:bookmarkEnd w:id="154"/>
    <w:bookmarkEnd w:id="155"/>
    <w:bookmarkEnd w:id="156"/>
    <w:bookmarkEnd w:id="157"/>
    <w:p>
      <w:pPr>
        <w:spacing w:line="360" w:lineRule="auto"/>
        <w:rPr>
          <w:rFonts w:ascii="黑体" w:hAnsi="宋体" w:eastAsia="黑体"/>
          <w:sz w:val="24"/>
        </w:rPr>
      </w:pPr>
      <w:bookmarkStart w:id="160" w:name="_Toc100052404"/>
      <w:r>
        <w:rPr>
          <w:rFonts w:ascii="黑体" w:hAnsi="宋体" w:eastAsia="黑体"/>
          <w:sz w:val="24"/>
        </w:rPr>
        <w:t>18</w:t>
      </w:r>
      <w:r>
        <w:rPr>
          <w:rFonts w:hint="eastAsia" w:ascii="黑体" w:hAnsi="宋体" w:eastAsia="黑体"/>
          <w:sz w:val="24"/>
        </w:rPr>
        <w:t>．定标</w:t>
      </w:r>
    </w:p>
    <w:p>
      <w:pPr>
        <w:ind w:firstLine="411" w:firstLineChars="196"/>
        <w:rPr>
          <w:rFonts w:ascii="宋体" w:hAnsi="宋体"/>
          <w:szCs w:val="21"/>
        </w:rPr>
      </w:pPr>
      <w:r>
        <w:rPr>
          <w:rFonts w:ascii="宋体" w:hAnsi="宋体"/>
          <w:szCs w:val="21"/>
        </w:rPr>
        <w:t>18.</w:t>
      </w:r>
      <w:r>
        <w:rPr>
          <w:rFonts w:hint="eastAsia" w:ascii="宋体" w:hAnsi="宋体"/>
          <w:szCs w:val="21"/>
        </w:rPr>
        <w:t>1评审委员会依据本采购文件所约定的评审方法进行评审和比较，对评价结果从优到劣进行排序，向采购机构提交书面评审报告，并根据评价结果，推荐成交候选人或确定成交供应商；</w:t>
      </w:r>
    </w:p>
    <w:p>
      <w:pPr>
        <w:spacing w:line="360" w:lineRule="auto"/>
        <w:rPr>
          <w:rFonts w:ascii="黑体" w:hAnsi="宋体" w:eastAsia="黑体"/>
          <w:sz w:val="24"/>
        </w:rPr>
      </w:pPr>
      <w:r>
        <w:rPr>
          <w:rFonts w:ascii="黑体" w:hAnsi="宋体" w:eastAsia="黑体"/>
          <w:sz w:val="24"/>
        </w:rPr>
        <w:t>19</w:t>
      </w:r>
      <w:r>
        <w:rPr>
          <w:rFonts w:hint="eastAsia" w:ascii="黑体" w:hAnsi="宋体" w:eastAsia="黑体"/>
          <w:sz w:val="24"/>
        </w:rPr>
        <w:t>．编写评审报告</w:t>
      </w:r>
      <w:bookmarkEnd w:id="160"/>
    </w:p>
    <w:p>
      <w:pPr>
        <w:ind w:firstLine="411" w:firstLineChars="196"/>
        <w:rPr>
          <w:rFonts w:ascii="宋体" w:hAnsi="宋体"/>
          <w:szCs w:val="21"/>
        </w:rPr>
      </w:pPr>
      <w:r>
        <w:rPr>
          <w:rFonts w:hint="eastAsia" w:ascii="宋体" w:hAnsi="宋体"/>
          <w:szCs w:val="21"/>
        </w:rPr>
        <w:t>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做出书面说明并记录在案。</w:t>
      </w:r>
    </w:p>
    <w:p>
      <w:pPr>
        <w:spacing w:line="360" w:lineRule="auto"/>
        <w:rPr>
          <w:rFonts w:ascii="黑体" w:hAnsi="宋体" w:eastAsia="黑体"/>
          <w:sz w:val="24"/>
        </w:rPr>
      </w:pPr>
      <w:bookmarkStart w:id="161" w:name="_Toc100052405"/>
      <w:bookmarkStart w:id="162" w:name="_Toc73517681"/>
      <w:bookmarkStart w:id="163" w:name="_Toc73521676"/>
      <w:bookmarkStart w:id="164" w:name="_Toc73521588"/>
      <w:bookmarkStart w:id="165" w:name="_Toc73518159"/>
      <w:r>
        <w:rPr>
          <w:rFonts w:ascii="黑体" w:hAnsi="宋体" w:eastAsia="黑体"/>
          <w:sz w:val="24"/>
        </w:rPr>
        <w:t>20</w:t>
      </w:r>
      <w:r>
        <w:rPr>
          <w:rFonts w:hint="eastAsia" w:ascii="黑体" w:hAnsi="宋体" w:eastAsia="黑体"/>
          <w:sz w:val="24"/>
        </w:rPr>
        <w:t>．成交公告</w:t>
      </w:r>
      <w:bookmarkEnd w:id="161"/>
    </w:p>
    <w:p>
      <w:pPr>
        <w:ind w:firstLine="411" w:firstLineChars="196"/>
        <w:rPr>
          <w:rFonts w:ascii="宋体" w:hAnsi="宋体"/>
          <w:szCs w:val="21"/>
        </w:rPr>
      </w:pPr>
      <w:r>
        <w:rPr>
          <w:rFonts w:ascii="宋体" w:hAnsi="宋体"/>
          <w:szCs w:val="21"/>
        </w:rPr>
        <w:t>20</w:t>
      </w:r>
      <w:r>
        <w:rPr>
          <w:rFonts w:hint="eastAsia" w:ascii="宋体" w:hAnsi="宋体"/>
          <w:szCs w:val="21"/>
        </w:rPr>
        <w:t>.1为体现“公开、公平、公正”的原则，评审结束后，政府物料供应中心将在“深圳市罗湖区政府采购网”（</w:t>
      </w:r>
      <w:r>
        <w:fldChar w:fldCharType="begin"/>
      </w:r>
      <w:r>
        <w:instrText xml:space="preserve"> HYPERLINK "http://www.szfb.gov.cn:8080/" </w:instrText>
      </w:r>
      <w:r>
        <w:fldChar w:fldCharType="separate"/>
      </w:r>
      <w:r>
        <w:rPr>
          <w:rFonts w:ascii="宋体" w:hAnsi="宋体"/>
          <w:color w:val="0000FF"/>
          <w:szCs w:val="21"/>
          <w:u w:val="single"/>
        </w:rPr>
        <w:t>http://</w:t>
      </w:r>
      <w:r>
        <w:rPr>
          <w:rFonts w:hint="eastAsia" w:ascii="宋体" w:hAnsi="宋体"/>
          <w:color w:val="0000FF"/>
          <w:szCs w:val="21"/>
          <w:u w:val="single"/>
        </w:rPr>
        <w:t>lh.sz</w:t>
      </w:r>
      <w:r>
        <w:rPr>
          <w:rFonts w:ascii="宋体" w:hAnsi="宋体"/>
          <w:color w:val="0000FF"/>
          <w:szCs w:val="21"/>
          <w:u w:val="single"/>
        </w:rPr>
        <w:t>zfcg.cn/</w:t>
      </w:r>
      <w:r>
        <w:rPr>
          <w:rFonts w:ascii="宋体" w:hAnsi="宋体"/>
          <w:color w:val="0000FF"/>
          <w:szCs w:val="21"/>
          <w:u w:val="single"/>
        </w:rPr>
        <w:fldChar w:fldCharType="end"/>
      </w:r>
      <w:r>
        <w:rPr>
          <w:rFonts w:hint="eastAsia" w:ascii="宋体" w:hAnsi="宋体"/>
          <w:szCs w:val="21"/>
        </w:rPr>
        <w:t>）上发布成交结果公告，公示期为一个工作日。供应商如对评审结果有异议，请于公示期内，以书面形式向我中心反映。若在公示期内未提出异议，则视为认同该评审结果。</w:t>
      </w:r>
    </w:p>
    <w:p>
      <w:pPr>
        <w:ind w:firstLine="411" w:firstLineChars="196"/>
        <w:rPr>
          <w:rFonts w:ascii="宋体" w:hAnsi="宋体"/>
          <w:szCs w:val="21"/>
        </w:rPr>
      </w:pPr>
      <w:r>
        <w:rPr>
          <w:rFonts w:ascii="宋体" w:hAnsi="宋体"/>
          <w:szCs w:val="21"/>
        </w:rPr>
        <w:t>20</w:t>
      </w:r>
      <w:r>
        <w:rPr>
          <w:rFonts w:hint="eastAsia" w:ascii="宋体" w:hAnsi="宋体"/>
          <w:szCs w:val="21"/>
        </w:rPr>
        <w:t>.2质疑投诉人应保证质疑投诉内容的真实性和可靠性，并承担相应的法律责任。</w:t>
      </w:r>
    </w:p>
    <w:p>
      <w:pPr>
        <w:spacing w:line="360" w:lineRule="auto"/>
        <w:rPr>
          <w:rFonts w:ascii="黑体" w:hAnsi="宋体" w:eastAsia="黑体"/>
          <w:sz w:val="24"/>
        </w:rPr>
      </w:pPr>
      <w:bookmarkStart w:id="166" w:name="_Toc100052406"/>
      <w:r>
        <w:rPr>
          <w:rFonts w:ascii="黑体" w:hAnsi="宋体" w:eastAsia="黑体"/>
          <w:sz w:val="24"/>
        </w:rPr>
        <w:t>21</w:t>
      </w:r>
      <w:r>
        <w:rPr>
          <w:rFonts w:hint="eastAsia" w:ascii="黑体" w:hAnsi="宋体" w:eastAsia="黑体"/>
          <w:sz w:val="24"/>
        </w:rPr>
        <w:t>．成交结果及成交通知书</w:t>
      </w:r>
      <w:bookmarkEnd w:id="166"/>
    </w:p>
    <w:p>
      <w:pPr>
        <w:ind w:firstLine="411" w:firstLineChars="196"/>
        <w:rPr>
          <w:rFonts w:ascii="宋体" w:hAnsi="宋体"/>
          <w:szCs w:val="21"/>
        </w:rPr>
      </w:pPr>
      <w:r>
        <w:rPr>
          <w:rFonts w:ascii="宋体" w:hAnsi="宋体"/>
          <w:szCs w:val="21"/>
        </w:rPr>
        <w:t>21</w:t>
      </w:r>
      <w:r>
        <w:rPr>
          <w:rFonts w:hint="eastAsia" w:ascii="宋体" w:hAnsi="宋体"/>
          <w:szCs w:val="21"/>
        </w:rPr>
        <w:t>.1</w:t>
      </w:r>
      <w:r>
        <w:rPr>
          <w:rFonts w:hint="eastAsia" w:ascii="宋体" w:hAnsi="宋体" w:cs="宋体"/>
          <w:kern w:val="0"/>
          <w:szCs w:val="21"/>
        </w:rPr>
        <w:t>成交公告发布并公示一个工作日后，公示期内无异议，</w:t>
      </w:r>
      <w:r>
        <w:rPr>
          <w:rFonts w:hint="eastAsia" w:ascii="宋体" w:hAnsi="宋体" w:cs="宋体"/>
          <w:color w:val="FF0000"/>
          <w:kern w:val="0"/>
          <w:szCs w:val="21"/>
        </w:rPr>
        <w:t>请成交供应商到物料供应中心领取成交（中标）通知书</w:t>
      </w:r>
      <w:r>
        <w:rPr>
          <w:rFonts w:hint="eastAsia" w:ascii="宋体" w:hAnsi="宋体" w:cs="宋体"/>
          <w:kern w:val="0"/>
          <w:szCs w:val="21"/>
        </w:rPr>
        <w:t>。</w:t>
      </w:r>
    </w:p>
    <w:bookmarkEnd w:id="162"/>
    <w:bookmarkEnd w:id="163"/>
    <w:bookmarkEnd w:id="164"/>
    <w:bookmarkEnd w:id="165"/>
    <w:p>
      <w:pPr>
        <w:ind w:firstLine="411" w:firstLineChars="196"/>
        <w:rPr>
          <w:rFonts w:ascii="宋体" w:hAnsi="宋体"/>
          <w:szCs w:val="21"/>
        </w:rPr>
      </w:pPr>
      <w:r>
        <w:rPr>
          <w:rFonts w:ascii="宋体" w:hAnsi="宋体"/>
          <w:szCs w:val="21"/>
        </w:rPr>
        <w:t>21.2</w:t>
      </w:r>
      <w:r>
        <w:rPr>
          <w:rFonts w:hint="eastAsia" w:ascii="宋体" w:hAnsi="宋体"/>
          <w:szCs w:val="21"/>
        </w:rPr>
        <w:t>成交通知书是合同的重要组成部分。</w:t>
      </w:r>
    </w:p>
    <w:p>
      <w:pPr>
        <w:ind w:firstLine="411" w:firstLineChars="196"/>
        <w:rPr>
          <w:rFonts w:ascii="宋体" w:hAnsi="宋体"/>
          <w:szCs w:val="21"/>
        </w:rPr>
      </w:pPr>
      <w:r>
        <w:rPr>
          <w:rFonts w:ascii="宋体" w:hAnsi="宋体"/>
          <w:szCs w:val="21"/>
        </w:rPr>
        <w:t>21</w:t>
      </w:r>
      <w:r>
        <w:rPr>
          <w:rFonts w:hint="eastAsia" w:ascii="宋体" w:hAnsi="宋体"/>
          <w:szCs w:val="21"/>
        </w:rPr>
        <w:t>.</w:t>
      </w:r>
      <w:r>
        <w:rPr>
          <w:rFonts w:ascii="宋体" w:hAnsi="宋体"/>
          <w:szCs w:val="21"/>
        </w:rPr>
        <w:t>3</w:t>
      </w:r>
      <w:r>
        <w:rPr>
          <w:rFonts w:hint="eastAsia" w:ascii="宋体" w:hAnsi="宋体"/>
          <w:szCs w:val="21"/>
        </w:rPr>
        <w:t>因质疑投诉或其它原因导致项目结果变更或采购终止的，深圳市罗湖区政府物料供应中心有权收回成交通知书，使用、采购单位有权终止采购合同。</w:t>
      </w:r>
    </w:p>
    <w:p>
      <w:pPr>
        <w:ind w:firstLine="411" w:firstLineChars="196"/>
        <w:rPr>
          <w:rFonts w:ascii="宋体" w:hAnsi="宋体"/>
          <w:szCs w:val="21"/>
        </w:rPr>
      </w:pPr>
    </w:p>
    <w:p>
      <w:pPr>
        <w:ind w:firstLine="411" w:firstLineChars="196"/>
        <w:rPr>
          <w:rFonts w:ascii="宋体" w:hAnsi="宋体"/>
          <w:szCs w:val="21"/>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6"/>
        <w:rFonts w:eastAsia="宋体"/>
      </w:rPr>
    </w:pPr>
    <w:r>
      <w:fldChar w:fldCharType="begin"/>
    </w:r>
    <w:r>
      <w:rPr>
        <w:rStyle w:val="36"/>
        <w:rFonts w:eastAsia="宋体"/>
      </w:rPr>
      <w:instrText xml:space="preserve">PAGE  </w:instrText>
    </w:r>
    <w:r>
      <w:fldChar w:fldCharType="separate"/>
    </w:r>
    <w:r>
      <w:rPr>
        <w:rStyle w:val="36"/>
        <w:rFonts w:eastAsia="宋体"/>
      </w:rPr>
      <w:t>5</w:t>
    </w:r>
    <w:r>
      <w:fldChar w:fldCharType="end"/>
    </w:r>
  </w:p>
  <w:p>
    <w:pPr>
      <w:pStyle w:val="2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6"/>
        <w:rFonts w:eastAsia="宋体"/>
      </w:rPr>
    </w:pPr>
    <w:r>
      <w:fldChar w:fldCharType="begin"/>
    </w:r>
    <w:r>
      <w:rPr>
        <w:rStyle w:val="36"/>
        <w:rFonts w:eastAsia="宋体"/>
      </w:rPr>
      <w:instrText xml:space="preserve">PAGE  </w:instrTex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59"/>
      <w:lvlText w:val=""/>
      <w:lvlJc w:val="left"/>
      <w:pPr>
        <w:tabs>
          <w:tab w:val="left" w:pos="360"/>
        </w:tabs>
        <w:ind w:left="360" w:hanging="360"/>
      </w:pPr>
      <w:rPr>
        <w:rFonts w:hint="default" w:ascii="Wingdings" w:hAnsi="Wingdings"/>
      </w:rPr>
    </w:lvl>
  </w:abstractNum>
  <w:abstractNum w:abstractNumId="1">
    <w:nsid w:val="492A045B"/>
    <w:multiLevelType w:val="multilevel"/>
    <w:tmpl w:val="492A045B"/>
    <w:lvl w:ilvl="0" w:tentative="0">
      <w:start w:val="1"/>
      <w:numFmt w:val="decimal"/>
      <w:pStyle w:val="102"/>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956289A"/>
    <w:multiLevelType w:val="multilevel"/>
    <w:tmpl w:val="4956289A"/>
    <w:lvl w:ilvl="0" w:tentative="0">
      <w:start w:val="1"/>
      <w:numFmt w:val="japaneseCounting"/>
      <w:pStyle w:val="158"/>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3">
    <w:nsid w:val="5524E98B"/>
    <w:multiLevelType w:val="singleLevel"/>
    <w:tmpl w:val="5524E98B"/>
    <w:lvl w:ilvl="0" w:tentative="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EE"/>
    <w:rsid w:val="00001D46"/>
    <w:rsid w:val="00004740"/>
    <w:rsid w:val="00005056"/>
    <w:rsid w:val="00005605"/>
    <w:rsid w:val="0000657F"/>
    <w:rsid w:val="000073B0"/>
    <w:rsid w:val="00007D8A"/>
    <w:rsid w:val="00010326"/>
    <w:rsid w:val="000135F4"/>
    <w:rsid w:val="00014B91"/>
    <w:rsid w:val="000157C4"/>
    <w:rsid w:val="00017137"/>
    <w:rsid w:val="00017DDA"/>
    <w:rsid w:val="00017E13"/>
    <w:rsid w:val="000209A2"/>
    <w:rsid w:val="00020C0B"/>
    <w:rsid w:val="00021A48"/>
    <w:rsid w:val="00022704"/>
    <w:rsid w:val="00022AE0"/>
    <w:rsid w:val="00023D88"/>
    <w:rsid w:val="00023ED0"/>
    <w:rsid w:val="0002458A"/>
    <w:rsid w:val="000249FE"/>
    <w:rsid w:val="000259EC"/>
    <w:rsid w:val="00025B23"/>
    <w:rsid w:val="00025BC1"/>
    <w:rsid w:val="000260E8"/>
    <w:rsid w:val="00026507"/>
    <w:rsid w:val="000312C1"/>
    <w:rsid w:val="00032916"/>
    <w:rsid w:val="00034BF7"/>
    <w:rsid w:val="00036784"/>
    <w:rsid w:val="000368A3"/>
    <w:rsid w:val="000369C7"/>
    <w:rsid w:val="00037E7C"/>
    <w:rsid w:val="0004050F"/>
    <w:rsid w:val="00041FFF"/>
    <w:rsid w:val="00042203"/>
    <w:rsid w:val="000428AE"/>
    <w:rsid w:val="000439EC"/>
    <w:rsid w:val="000442B5"/>
    <w:rsid w:val="0004527E"/>
    <w:rsid w:val="000470EE"/>
    <w:rsid w:val="00047408"/>
    <w:rsid w:val="0005059E"/>
    <w:rsid w:val="00050998"/>
    <w:rsid w:val="00051AB1"/>
    <w:rsid w:val="000526CE"/>
    <w:rsid w:val="00052EEF"/>
    <w:rsid w:val="000534D7"/>
    <w:rsid w:val="000539CB"/>
    <w:rsid w:val="00053FE8"/>
    <w:rsid w:val="00054ED3"/>
    <w:rsid w:val="00056F76"/>
    <w:rsid w:val="00060C48"/>
    <w:rsid w:val="000617C9"/>
    <w:rsid w:val="00061B71"/>
    <w:rsid w:val="000629A5"/>
    <w:rsid w:val="00062D50"/>
    <w:rsid w:val="00062FF6"/>
    <w:rsid w:val="00063200"/>
    <w:rsid w:val="00063C43"/>
    <w:rsid w:val="0006415B"/>
    <w:rsid w:val="00064276"/>
    <w:rsid w:val="00064E5E"/>
    <w:rsid w:val="00065849"/>
    <w:rsid w:val="0006588D"/>
    <w:rsid w:val="00065CE3"/>
    <w:rsid w:val="00066B10"/>
    <w:rsid w:val="00066D05"/>
    <w:rsid w:val="00067CF5"/>
    <w:rsid w:val="00070961"/>
    <w:rsid w:val="00071529"/>
    <w:rsid w:val="000730A5"/>
    <w:rsid w:val="00074D28"/>
    <w:rsid w:val="0007532F"/>
    <w:rsid w:val="0007668B"/>
    <w:rsid w:val="000767CF"/>
    <w:rsid w:val="000771EB"/>
    <w:rsid w:val="00080CB9"/>
    <w:rsid w:val="00080EEB"/>
    <w:rsid w:val="00081B13"/>
    <w:rsid w:val="00081E8F"/>
    <w:rsid w:val="00081EEC"/>
    <w:rsid w:val="0008271B"/>
    <w:rsid w:val="000833C1"/>
    <w:rsid w:val="00083E2A"/>
    <w:rsid w:val="000846B7"/>
    <w:rsid w:val="000853E4"/>
    <w:rsid w:val="000859FC"/>
    <w:rsid w:val="000915F6"/>
    <w:rsid w:val="000920E2"/>
    <w:rsid w:val="00092DC9"/>
    <w:rsid w:val="00093092"/>
    <w:rsid w:val="000951F0"/>
    <w:rsid w:val="00095261"/>
    <w:rsid w:val="00095F81"/>
    <w:rsid w:val="00096ACB"/>
    <w:rsid w:val="00096D48"/>
    <w:rsid w:val="00096E93"/>
    <w:rsid w:val="00097F9A"/>
    <w:rsid w:val="000A0B1D"/>
    <w:rsid w:val="000A1110"/>
    <w:rsid w:val="000A3365"/>
    <w:rsid w:val="000A3C3D"/>
    <w:rsid w:val="000A41AD"/>
    <w:rsid w:val="000A44F3"/>
    <w:rsid w:val="000A4C93"/>
    <w:rsid w:val="000A4F93"/>
    <w:rsid w:val="000A5903"/>
    <w:rsid w:val="000A66BA"/>
    <w:rsid w:val="000A7D2C"/>
    <w:rsid w:val="000B1321"/>
    <w:rsid w:val="000B18CA"/>
    <w:rsid w:val="000B384D"/>
    <w:rsid w:val="000B61B5"/>
    <w:rsid w:val="000B6224"/>
    <w:rsid w:val="000B62F4"/>
    <w:rsid w:val="000B6BBA"/>
    <w:rsid w:val="000B74BC"/>
    <w:rsid w:val="000C150A"/>
    <w:rsid w:val="000C2282"/>
    <w:rsid w:val="000C3DE0"/>
    <w:rsid w:val="000C3F57"/>
    <w:rsid w:val="000C4DCC"/>
    <w:rsid w:val="000C51E4"/>
    <w:rsid w:val="000C5410"/>
    <w:rsid w:val="000C7F18"/>
    <w:rsid w:val="000D086A"/>
    <w:rsid w:val="000D0A5A"/>
    <w:rsid w:val="000D166B"/>
    <w:rsid w:val="000D1F97"/>
    <w:rsid w:val="000D2056"/>
    <w:rsid w:val="000D2091"/>
    <w:rsid w:val="000D2AFD"/>
    <w:rsid w:val="000D3A25"/>
    <w:rsid w:val="000D4933"/>
    <w:rsid w:val="000D73B7"/>
    <w:rsid w:val="000E1DB0"/>
    <w:rsid w:val="000E241A"/>
    <w:rsid w:val="000E2E7C"/>
    <w:rsid w:val="000E3A5D"/>
    <w:rsid w:val="000E41C8"/>
    <w:rsid w:val="000E4AA8"/>
    <w:rsid w:val="000E4FC6"/>
    <w:rsid w:val="000E723D"/>
    <w:rsid w:val="000F12EB"/>
    <w:rsid w:val="000F3050"/>
    <w:rsid w:val="000F47AE"/>
    <w:rsid w:val="000F5150"/>
    <w:rsid w:val="000F6018"/>
    <w:rsid w:val="000F611D"/>
    <w:rsid w:val="000F67B5"/>
    <w:rsid w:val="000F7D3B"/>
    <w:rsid w:val="00100FF4"/>
    <w:rsid w:val="00101C4A"/>
    <w:rsid w:val="001031B8"/>
    <w:rsid w:val="00105690"/>
    <w:rsid w:val="00106D6D"/>
    <w:rsid w:val="00106EBB"/>
    <w:rsid w:val="00110753"/>
    <w:rsid w:val="0011075D"/>
    <w:rsid w:val="00110C84"/>
    <w:rsid w:val="00112872"/>
    <w:rsid w:val="0011330C"/>
    <w:rsid w:val="0011388D"/>
    <w:rsid w:val="00117CCD"/>
    <w:rsid w:val="00117EF7"/>
    <w:rsid w:val="001215E8"/>
    <w:rsid w:val="0012179A"/>
    <w:rsid w:val="0012199C"/>
    <w:rsid w:val="001223F7"/>
    <w:rsid w:val="00122453"/>
    <w:rsid w:val="00124407"/>
    <w:rsid w:val="0012467F"/>
    <w:rsid w:val="00124AEC"/>
    <w:rsid w:val="001250E4"/>
    <w:rsid w:val="00126076"/>
    <w:rsid w:val="001264A1"/>
    <w:rsid w:val="00126EA6"/>
    <w:rsid w:val="00126EF0"/>
    <w:rsid w:val="0012798F"/>
    <w:rsid w:val="001306CC"/>
    <w:rsid w:val="00130769"/>
    <w:rsid w:val="001312EB"/>
    <w:rsid w:val="001319A6"/>
    <w:rsid w:val="001347B6"/>
    <w:rsid w:val="001348AF"/>
    <w:rsid w:val="0013538B"/>
    <w:rsid w:val="001355B2"/>
    <w:rsid w:val="00135A9F"/>
    <w:rsid w:val="00136E89"/>
    <w:rsid w:val="00140694"/>
    <w:rsid w:val="00140811"/>
    <w:rsid w:val="00141231"/>
    <w:rsid w:val="00141B6D"/>
    <w:rsid w:val="00142B84"/>
    <w:rsid w:val="00142E65"/>
    <w:rsid w:val="00142FB0"/>
    <w:rsid w:val="0014338D"/>
    <w:rsid w:val="00143415"/>
    <w:rsid w:val="001437DF"/>
    <w:rsid w:val="00143B9A"/>
    <w:rsid w:val="0014515C"/>
    <w:rsid w:val="00145EB4"/>
    <w:rsid w:val="00146CF9"/>
    <w:rsid w:val="0014756F"/>
    <w:rsid w:val="00147C4A"/>
    <w:rsid w:val="001518D6"/>
    <w:rsid w:val="00151EDC"/>
    <w:rsid w:val="00152470"/>
    <w:rsid w:val="00154D77"/>
    <w:rsid w:val="00155AF0"/>
    <w:rsid w:val="0015623E"/>
    <w:rsid w:val="00156520"/>
    <w:rsid w:val="00156746"/>
    <w:rsid w:val="001577AD"/>
    <w:rsid w:val="00160074"/>
    <w:rsid w:val="0016017D"/>
    <w:rsid w:val="001603EC"/>
    <w:rsid w:val="001608D9"/>
    <w:rsid w:val="00161486"/>
    <w:rsid w:val="0016182E"/>
    <w:rsid w:val="0016225E"/>
    <w:rsid w:val="00162768"/>
    <w:rsid w:val="00162871"/>
    <w:rsid w:val="00162EDA"/>
    <w:rsid w:val="00163207"/>
    <w:rsid w:val="00163E81"/>
    <w:rsid w:val="00164998"/>
    <w:rsid w:val="00164C8B"/>
    <w:rsid w:val="0016523E"/>
    <w:rsid w:val="00165520"/>
    <w:rsid w:val="00166A94"/>
    <w:rsid w:val="00166F57"/>
    <w:rsid w:val="001671E3"/>
    <w:rsid w:val="00167919"/>
    <w:rsid w:val="001711E5"/>
    <w:rsid w:val="001718F3"/>
    <w:rsid w:val="00172828"/>
    <w:rsid w:val="00172D22"/>
    <w:rsid w:val="00173B42"/>
    <w:rsid w:val="00175B6E"/>
    <w:rsid w:val="00176FEE"/>
    <w:rsid w:val="00177C22"/>
    <w:rsid w:val="00177F83"/>
    <w:rsid w:val="00180C11"/>
    <w:rsid w:val="00180F97"/>
    <w:rsid w:val="001816DF"/>
    <w:rsid w:val="00182EB8"/>
    <w:rsid w:val="001830D6"/>
    <w:rsid w:val="00183297"/>
    <w:rsid w:val="00183C0B"/>
    <w:rsid w:val="00184828"/>
    <w:rsid w:val="00184B38"/>
    <w:rsid w:val="00186529"/>
    <w:rsid w:val="00186EC9"/>
    <w:rsid w:val="00186FA0"/>
    <w:rsid w:val="00186FD3"/>
    <w:rsid w:val="00190C44"/>
    <w:rsid w:val="00192DF4"/>
    <w:rsid w:val="00193BD5"/>
    <w:rsid w:val="001940FF"/>
    <w:rsid w:val="00195282"/>
    <w:rsid w:val="00195AF3"/>
    <w:rsid w:val="00195C9E"/>
    <w:rsid w:val="001965E9"/>
    <w:rsid w:val="00196D63"/>
    <w:rsid w:val="0019712C"/>
    <w:rsid w:val="0019783E"/>
    <w:rsid w:val="001979EE"/>
    <w:rsid w:val="001A09E4"/>
    <w:rsid w:val="001A152C"/>
    <w:rsid w:val="001A25DF"/>
    <w:rsid w:val="001A334B"/>
    <w:rsid w:val="001A37C9"/>
    <w:rsid w:val="001A3AD2"/>
    <w:rsid w:val="001A3EE9"/>
    <w:rsid w:val="001A40A0"/>
    <w:rsid w:val="001A4637"/>
    <w:rsid w:val="001A5CE6"/>
    <w:rsid w:val="001A5D43"/>
    <w:rsid w:val="001A6129"/>
    <w:rsid w:val="001A6827"/>
    <w:rsid w:val="001A6B77"/>
    <w:rsid w:val="001A6BAB"/>
    <w:rsid w:val="001A7441"/>
    <w:rsid w:val="001A7BF8"/>
    <w:rsid w:val="001A7F8E"/>
    <w:rsid w:val="001B0004"/>
    <w:rsid w:val="001B05CE"/>
    <w:rsid w:val="001B0B6D"/>
    <w:rsid w:val="001B1814"/>
    <w:rsid w:val="001B19E2"/>
    <w:rsid w:val="001B1F19"/>
    <w:rsid w:val="001B4163"/>
    <w:rsid w:val="001B6781"/>
    <w:rsid w:val="001B7007"/>
    <w:rsid w:val="001B701C"/>
    <w:rsid w:val="001C5406"/>
    <w:rsid w:val="001C597A"/>
    <w:rsid w:val="001C59E4"/>
    <w:rsid w:val="001C62C5"/>
    <w:rsid w:val="001C6C45"/>
    <w:rsid w:val="001C7D57"/>
    <w:rsid w:val="001D204D"/>
    <w:rsid w:val="001D20D2"/>
    <w:rsid w:val="001D2361"/>
    <w:rsid w:val="001D2B51"/>
    <w:rsid w:val="001D32BD"/>
    <w:rsid w:val="001D4C5D"/>
    <w:rsid w:val="001D5420"/>
    <w:rsid w:val="001D5591"/>
    <w:rsid w:val="001D5BB3"/>
    <w:rsid w:val="001D656F"/>
    <w:rsid w:val="001D74A4"/>
    <w:rsid w:val="001E1C90"/>
    <w:rsid w:val="001E2514"/>
    <w:rsid w:val="001E28CA"/>
    <w:rsid w:val="001E2976"/>
    <w:rsid w:val="001E34B2"/>
    <w:rsid w:val="001E35E5"/>
    <w:rsid w:val="001E437F"/>
    <w:rsid w:val="001E6C15"/>
    <w:rsid w:val="001E7F33"/>
    <w:rsid w:val="001F0AAB"/>
    <w:rsid w:val="001F0ABD"/>
    <w:rsid w:val="001F1052"/>
    <w:rsid w:val="001F1B83"/>
    <w:rsid w:val="001F413E"/>
    <w:rsid w:val="001F4191"/>
    <w:rsid w:val="001F4862"/>
    <w:rsid w:val="001F512F"/>
    <w:rsid w:val="001F55E7"/>
    <w:rsid w:val="001F5B02"/>
    <w:rsid w:val="001F6167"/>
    <w:rsid w:val="001F633D"/>
    <w:rsid w:val="0020084A"/>
    <w:rsid w:val="0020177A"/>
    <w:rsid w:val="00201FDB"/>
    <w:rsid w:val="00202427"/>
    <w:rsid w:val="0020380B"/>
    <w:rsid w:val="00203A00"/>
    <w:rsid w:val="00204AE7"/>
    <w:rsid w:val="00205F86"/>
    <w:rsid w:val="00206E57"/>
    <w:rsid w:val="00207AFC"/>
    <w:rsid w:val="0021483E"/>
    <w:rsid w:val="0021550D"/>
    <w:rsid w:val="00216B07"/>
    <w:rsid w:val="00222110"/>
    <w:rsid w:val="002228EF"/>
    <w:rsid w:val="00224017"/>
    <w:rsid w:val="00224369"/>
    <w:rsid w:val="002254BF"/>
    <w:rsid w:val="002259EF"/>
    <w:rsid w:val="00225BDE"/>
    <w:rsid w:val="002262BE"/>
    <w:rsid w:val="00230654"/>
    <w:rsid w:val="002310A8"/>
    <w:rsid w:val="00232955"/>
    <w:rsid w:val="002331D8"/>
    <w:rsid w:val="002339B3"/>
    <w:rsid w:val="00234A91"/>
    <w:rsid w:val="00234D70"/>
    <w:rsid w:val="00235DB6"/>
    <w:rsid w:val="00236062"/>
    <w:rsid w:val="00236AFE"/>
    <w:rsid w:val="00236E81"/>
    <w:rsid w:val="002400A0"/>
    <w:rsid w:val="00240976"/>
    <w:rsid w:val="00240F50"/>
    <w:rsid w:val="002428CF"/>
    <w:rsid w:val="00242CA6"/>
    <w:rsid w:val="00245302"/>
    <w:rsid w:val="00245435"/>
    <w:rsid w:val="002454FD"/>
    <w:rsid w:val="00245753"/>
    <w:rsid w:val="002468BF"/>
    <w:rsid w:val="00246FD6"/>
    <w:rsid w:val="00253BA3"/>
    <w:rsid w:val="0025400A"/>
    <w:rsid w:val="00254279"/>
    <w:rsid w:val="002547E4"/>
    <w:rsid w:val="00256E04"/>
    <w:rsid w:val="00257774"/>
    <w:rsid w:val="00257C82"/>
    <w:rsid w:val="00260977"/>
    <w:rsid w:val="00262417"/>
    <w:rsid w:val="00262954"/>
    <w:rsid w:val="00264023"/>
    <w:rsid w:val="00264A84"/>
    <w:rsid w:val="002657E0"/>
    <w:rsid w:val="002672D0"/>
    <w:rsid w:val="00267E0D"/>
    <w:rsid w:val="0027064D"/>
    <w:rsid w:val="0027165A"/>
    <w:rsid w:val="00272543"/>
    <w:rsid w:val="0027338F"/>
    <w:rsid w:val="00276EC8"/>
    <w:rsid w:val="00276EF0"/>
    <w:rsid w:val="002833B5"/>
    <w:rsid w:val="0028418C"/>
    <w:rsid w:val="00285694"/>
    <w:rsid w:val="00286E0C"/>
    <w:rsid w:val="00293032"/>
    <w:rsid w:val="00293856"/>
    <w:rsid w:val="00294EDB"/>
    <w:rsid w:val="00296D10"/>
    <w:rsid w:val="00297AAF"/>
    <w:rsid w:val="002A15C5"/>
    <w:rsid w:val="002A2D52"/>
    <w:rsid w:val="002A3B79"/>
    <w:rsid w:val="002A5B68"/>
    <w:rsid w:val="002A5ECD"/>
    <w:rsid w:val="002A62FD"/>
    <w:rsid w:val="002A6F53"/>
    <w:rsid w:val="002B08F0"/>
    <w:rsid w:val="002B10DE"/>
    <w:rsid w:val="002B2476"/>
    <w:rsid w:val="002B25DD"/>
    <w:rsid w:val="002B3508"/>
    <w:rsid w:val="002B5536"/>
    <w:rsid w:val="002B5BDA"/>
    <w:rsid w:val="002B6487"/>
    <w:rsid w:val="002B6B85"/>
    <w:rsid w:val="002B7EE7"/>
    <w:rsid w:val="002C05A2"/>
    <w:rsid w:val="002C0BB8"/>
    <w:rsid w:val="002C1458"/>
    <w:rsid w:val="002C1D58"/>
    <w:rsid w:val="002C2776"/>
    <w:rsid w:val="002C2E18"/>
    <w:rsid w:val="002C49D8"/>
    <w:rsid w:val="002C4E13"/>
    <w:rsid w:val="002C55EC"/>
    <w:rsid w:val="002C5805"/>
    <w:rsid w:val="002C5F73"/>
    <w:rsid w:val="002C7314"/>
    <w:rsid w:val="002C7788"/>
    <w:rsid w:val="002D0B62"/>
    <w:rsid w:val="002D19B3"/>
    <w:rsid w:val="002D1F58"/>
    <w:rsid w:val="002D28A7"/>
    <w:rsid w:val="002D2B9A"/>
    <w:rsid w:val="002D2C4F"/>
    <w:rsid w:val="002D4A6F"/>
    <w:rsid w:val="002D5091"/>
    <w:rsid w:val="002D50DD"/>
    <w:rsid w:val="002D5846"/>
    <w:rsid w:val="002D58D7"/>
    <w:rsid w:val="002D75DA"/>
    <w:rsid w:val="002D7798"/>
    <w:rsid w:val="002E2125"/>
    <w:rsid w:val="002E44C3"/>
    <w:rsid w:val="002E70AC"/>
    <w:rsid w:val="002E7E95"/>
    <w:rsid w:val="002F4489"/>
    <w:rsid w:val="002F6612"/>
    <w:rsid w:val="002F769A"/>
    <w:rsid w:val="00302366"/>
    <w:rsid w:val="00303559"/>
    <w:rsid w:val="00303D57"/>
    <w:rsid w:val="00304D5D"/>
    <w:rsid w:val="003051A3"/>
    <w:rsid w:val="00305765"/>
    <w:rsid w:val="00305A43"/>
    <w:rsid w:val="00307A86"/>
    <w:rsid w:val="00310EAF"/>
    <w:rsid w:val="00311529"/>
    <w:rsid w:val="00311F3B"/>
    <w:rsid w:val="00313605"/>
    <w:rsid w:val="003137F5"/>
    <w:rsid w:val="00315E60"/>
    <w:rsid w:val="00316299"/>
    <w:rsid w:val="00316660"/>
    <w:rsid w:val="003167EE"/>
    <w:rsid w:val="003172CB"/>
    <w:rsid w:val="003212AD"/>
    <w:rsid w:val="00322101"/>
    <w:rsid w:val="00322B14"/>
    <w:rsid w:val="00323413"/>
    <w:rsid w:val="0032377F"/>
    <w:rsid w:val="00323CC8"/>
    <w:rsid w:val="00326492"/>
    <w:rsid w:val="0032692E"/>
    <w:rsid w:val="00326CC8"/>
    <w:rsid w:val="00330304"/>
    <w:rsid w:val="0033173B"/>
    <w:rsid w:val="00332971"/>
    <w:rsid w:val="00333882"/>
    <w:rsid w:val="00334566"/>
    <w:rsid w:val="00334B57"/>
    <w:rsid w:val="00335306"/>
    <w:rsid w:val="003360B3"/>
    <w:rsid w:val="00336E82"/>
    <w:rsid w:val="00337050"/>
    <w:rsid w:val="00337E29"/>
    <w:rsid w:val="0034041F"/>
    <w:rsid w:val="0034116E"/>
    <w:rsid w:val="0034219F"/>
    <w:rsid w:val="00342ABD"/>
    <w:rsid w:val="0034486D"/>
    <w:rsid w:val="00344D91"/>
    <w:rsid w:val="0034563A"/>
    <w:rsid w:val="0034619F"/>
    <w:rsid w:val="00346601"/>
    <w:rsid w:val="00347C5B"/>
    <w:rsid w:val="00347F52"/>
    <w:rsid w:val="003503BB"/>
    <w:rsid w:val="00350C1C"/>
    <w:rsid w:val="0035201E"/>
    <w:rsid w:val="00352560"/>
    <w:rsid w:val="003545F5"/>
    <w:rsid w:val="00356730"/>
    <w:rsid w:val="00356F8E"/>
    <w:rsid w:val="00357DEB"/>
    <w:rsid w:val="00362ED7"/>
    <w:rsid w:val="00363A87"/>
    <w:rsid w:val="00364201"/>
    <w:rsid w:val="00364909"/>
    <w:rsid w:val="00365194"/>
    <w:rsid w:val="003653F1"/>
    <w:rsid w:val="00365B9E"/>
    <w:rsid w:val="00372F5E"/>
    <w:rsid w:val="00373F69"/>
    <w:rsid w:val="00374309"/>
    <w:rsid w:val="00374E79"/>
    <w:rsid w:val="003759B6"/>
    <w:rsid w:val="00375C3C"/>
    <w:rsid w:val="003761D4"/>
    <w:rsid w:val="003773C6"/>
    <w:rsid w:val="003818EE"/>
    <w:rsid w:val="00381A61"/>
    <w:rsid w:val="00382012"/>
    <w:rsid w:val="0038332A"/>
    <w:rsid w:val="003836E6"/>
    <w:rsid w:val="00385A9F"/>
    <w:rsid w:val="003867C4"/>
    <w:rsid w:val="003911BC"/>
    <w:rsid w:val="003916D6"/>
    <w:rsid w:val="00392260"/>
    <w:rsid w:val="00392669"/>
    <w:rsid w:val="00392ED3"/>
    <w:rsid w:val="00392FB3"/>
    <w:rsid w:val="00393331"/>
    <w:rsid w:val="00393DDA"/>
    <w:rsid w:val="00396339"/>
    <w:rsid w:val="00396567"/>
    <w:rsid w:val="00396C7C"/>
    <w:rsid w:val="003971E9"/>
    <w:rsid w:val="00397372"/>
    <w:rsid w:val="00397F32"/>
    <w:rsid w:val="003A0063"/>
    <w:rsid w:val="003A0235"/>
    <w:rsid w:val="003A2163"/>
    <w:rsid w:val="003A3113"/>
    <w:rsid w:val="003A31F2"/>
    <w:rsid w:val="003A3E4D"/>
    <w:rsid w:val="003B1CBF"/>
    <w:rsid w:val="003B28AD"/>
    <w:rsid w:val="003B2B9B"/>
    <w:rsid w:val="003B3A4A"/>
    <w:rsid w:val="003B5050"/>
    <w:rsid w:val="003B5CF9"/>
    <w:rsid w:val="003B6934"/>
    <w:rsid w:val="003B6B88"/>
    <w:rsid w:val="003C31A3"/>
    <w:rsid w:val="003C348D"/>
    <w:rsid w:val="003C3CD2"/>
    <w:rsid w:val="003C46A2"/>
    <w:rsid w:val="003C65F4"/>
    <w:rsid w:val="003C6E9D"/>
    <w:rsid w:val="003C73CC"/>
    <w:rsid w:val="003D01C9"/>
    <w:rsid w:val="003D0244"/>
    <w:rsid w:val="003D1972"/>
    <w:rsid w:val="003D1ABC"/>
    <w:rsid w:val="003D2080"/>
    <w:rsid w:val="003D2CA9"/>
    <w:rsid w:val="003D379C"/>
    <w:rsid w:val="003D3DAC"/>
    <w:rsid w:val="003D673C"/>
    <w:rsid w:val="003D6B4E"/>
    <w:rsid w:val="003D6FD9"/>
    <w:rsid w:val="003E17E4"/>
    <w:rsid w:val="003E50D0"/>
    <w:rsid w:val="003E513C"/>
    <w:rsid w:val="003E66C8"/>
    <w:rsid w:val="003E72C9"/>
    <w:rsid w:val="003E74E0"/>
    <w:rsid w:val="003F2B32"/>
    <w:rsid w:val="003F364E"/>
    <w:rsid w:val="003F3C35"/>
    <w:rsid w:val="003F3E01"/>
    <w:rsid w:val="003F523A"/>
    <w:rsid w:val="003F77A6"/>
    <w:rsid w:val="003F795B"/>
    <w:rsid w:val="004018A8"/>
    <w:rsid w:val="00403392"/>
    <w:rsid w:val="00403A97"/>
    <w:rsid w:val="00406B6E"/>
    <w:rsid w:val="00407A7C"/>
    <w:rsid w:val="00407EC1"/>
    <w:rsid w:val="004108B8"/>
    <w:rsid w:val="004118DB"/>
    <w:rsid w:val="004130DC"/>
    <w:rsid w:val="00413509"/>
    <w:rsid w:val="00413A0C"/>
    <w:rsid w:val="0041430A"/>
    <w:rsid w:val="004143A0"/>
    <w:rsid w:val="004147DC"/>
    <w:rsid w:val="00416934"/>
    <w:rsid w:val="00417470"/>
    <w:rsid w:val="004233F3"/>
    <w:rsid w:val="0042382B"/>
    <w:rsid w:val="004238A4"/>
    <w:rsid w:val="00423AB8"/>
    <w:rsid w:val="00424798"/>
    <w:rsid w:val="00425BD4"/>
    <w:rsid w:val="0042736C"/>
    <w:rsid w:val="00427B76"/>
    <w:rsid w:val="00430461"/>
    <w:rsid w:val="004309FF"/>
    <w:rsid w:val="00430B23"/>
    <w:rsid w:val="00431999"/>
    <w:rsid w:val="00431FD6"/>
    <w:rsid w:val="00432940"/>
    <w:rsid w:val="00432AE6"/>
    <w:rsid w:val="00433523"/>
    <w:rsid w:val="004348EC"/>
    <w:rsid w:val="00435C59"/>
    <w:rsid w:val="00436434"/>
    <w:rsid w:val="004368F8"/>
    <w:rsid w:val="00436E3F"/>
    <w:rsid w:val="00440E78"/>
    <w:rsid w:val="0044232E"/>
    <w:rsid w:val="00442517"/>
    <w:rsid w:val="004428A9"/>
    <w:rsid w:val="004431A2"/>
    <w:rsid w:val="00443B94"/>
    <w:rsid w:val="00443C4A"/>
    <w:rsid w:val="00443CB2"/>
    <w:rsid w:val="00444986"/>
    <w:rsid w:val="00446B44"/>
    <w:rsid w:val="004471E5"/>
    <w:rsid w:val="004473C4"/>
    <w:rsid w:val="00450ACB"/>
    <w:rsid w:val="00451116"/>
    <w:rsid w:val="0045287E"/>
    <w:rsid w:val="00453672"/>
    <w:rsid w:val="00453AEF"/>
    <w:rsid w:val="00453DAF"/>
    <w:rsid w:val="0045501F"/>
    <w:rsid w:val="0045621C"/>
    <w:rsid w:val="00456588"/>
    <w:rsid w:val="004601C9"/>
    <w:rsid w:val="00460C32"/>
    <w:rsid w:val="00463543"/>
    <w:rsid w:val="00464C8E"/>
    <w:rsid w:val="00464E79"/>
    <w:rsid w:val="004702B9"/>
    <w:rsid w:val="00471259"/>
    <w:rsid w:val="00471E37"/>
    <w:rsid w:val="0047264C"/>
    <w:rsid w:val="00473948"/>
    <w:rsid w:val="00473AFD"/>
    <w:rsid w:val="00475A2D"/>
    <w:rsid w:val="004765C2"/>
    <w:rsid w:val="00476E9C"/>
    <w:rsid w:val="004779AD"/>
    <w:rsid w:val="004779D1"/>
    <w:rsid w:val="004817EC"/>
    <w:rsid w:val="00484236"/>
    <w:rsid w:val="00484D56"/>
    <w:rsid w:val="00486028"/>
    <w:rsid w:val="00486A58"/>
    <w:rsid w:val="004907A6"/>
    <w:rsid w:val="00492D8E"/>
    <w:rsid w:val="00493A4E"/>
    <w:rsid w:val="00494073"/>
    <w:rsid w:val="00496812"/>
    <w:rsid w:val="004974CC"/>
    <w:rsid w:val="0049772B"/>
    <w:rsid w:val="004A1B98"/>
    <w:rsid w:val="004A3C3B"/>
    <w:rsid w:val="004A42DB"/>
    <w:rsid w:val="004A46D2"/>
    <w:rsid w:val="004A4D78"/>
    <w:rsid w:val="004A5368"/>
    <w:rsid w:val="004A5FF7"/>
    <w:rsid w:val="004A6249"/>
    <w:rsid w:val="004B001F"/>
    <w:rsid w:val="004B06D7"/>
    <w:rsid w:val="004B38DF"/>
    <w:rsid w:val="004B3A2F"/>
    <w:rsid w:val="004B48DF"/>
    <w:rsid w:val="004B506F"/>
    <w:rsid w:val="004B578A"/>
    <w:rsid w:val="004B5B01"/>
    <w:rsid w:val="004B5DA7"/>
    <w:rsid w:val="004B6E3C"/>
    <w:rsid w:val="004C02F1"/>
    <w:rsid w:val="004C0B25"/>
    <w:rsid w:val="004C180B"/>
    <w:rsid w:val="004C257D"/>
    <w:rsid w:val="004C27E6"/>
    <w:rsid w:val="004C303C"/>
    <w:rsid w:val="004C57C8"/>
    <w:rsid w:val="004C590B"/>
    <w:rsid w:val="004C5CC3"/>
    <w:rsid w:val="004C6C34"/>
    <w:rsid w:val="004D0003"/>
    <w:rsid w:val="004D0539"/>
    <w:rsid w:val="004D191D"/>
    <w:rsid w:val="004D19A1"/>
    <w:rsid w:val="004D1CE9"/>
    <w:rsid w:val="004D1D0E"/>
    <w:rsid w:val="004D265D"/>
    <w:rsid w:val="004D401F"/>
    <w:rsid w:val="004D47A6"/>
    <w:rsid w:val="004D552E"/>
    <w:rsid w:val="004D5C2C"/>
    <w:rsid w:val="004D6E81"/>
    <w:rsid w:val="004D70F1"/>
    <w:rsid w:val="004D7399"/>
    <w:rsid w:val="004D7E34"/>
    <w:rsid w:val="004E13BC"/>
    <w:rsid w:val="004E3030"/>
    <w:rsid w:val="004E4286"/>
    <w:rsid w:val="004E4F7C"/>
    <w:rsid w:val="004E670E"/>
    <w:rsid w:val="004F14C3"/>
    <w:rsid w:val="004F2656"/>
    <w:rsid w:val="004F28DB"/>
    <w:rsid w:val="004F3921"/>
    <w:rsid w:val="004F5577"/>
    <w:rsid w:val="004F5D1D"/>
    <w:rsid w:val="004F75B0"/>
    <w:rsid w:val="0050085F"/>
    <w:rsid w:val="00500B00"/>
    <w:rsid w:val="005011D5"/>
    <w:rsid w:val="00502B91"/>
    <w:rsid w:val="00503EF5"/>
    <w:rsid w:val="005046FC"/>
    <w:rsid w:val="00506A91"/>
    <w:rsid w:val="00506CDC"/>
    <w:rsid w:val="0051091A"/>
    <w:rsid w:val="00515D47"/>
    <w:rsid w:val="00517678"/>
    <w:rsid w:val="0051787A"/>
    <w:rsid w:val="00520794"/>
    <w:rsid w:val="005210B5"/>
    <w:rsid w:val="00523C5F"/>
    <w:rsid w:val="00524302"/>
    <w:rsid w:val="005258BC"/>
    <w:rsid w:val="005269DD"/>
    <w:rsid w:val="00527D80"/>
    <w:rsid w:val="00531EB5"/>
    <w:rsid w:val="00533AD0"/>
    <w:rsid w:val="00534951"/>
    <w:rsid w:val="00535FF4"/>
    <w:rsid w:val="0053649A"/>
    <w:rsid w:val="005377EF"/>
    <w:rsid w:val="00540CD5"/>
    <w:rsid w:val="00542DF7"/>
    <w:rsid w:val="005434A2"/>
    <w:rsid w:val="0054376B"/>
    <w:rsid w:val="00543FB7"/>
    <w:rsid w:val="00544709"/>
    <w:rsid w:val="00544DDF"/>
    <w:rsid w:val="0054538E"/>
    <w:rsid w:val="00545EE5"/>
    <w:rsid w:val="005530A3"/>
    <w:rsid w:val="00553B7C"/>
    <w:rsid w:val="00553E18"/>
    <w:rsid w:val="00553FC7"/>
    <w:rsid w:val="00554022"/>
    <w:rsid w:val="005561E8"/>
    <w:rsid w:val="005571D0"/>
    <w:rsid w:val="00557415"/>
    <w:rsid w:val="00561345"/>
    <w:rsid w:val="00562829"/>
    <w:rsid w:val="00562C2B"/>
    <w:rsid w:val="00564149"/>
    <w:rsid w:val="00565E27"/>
    <w:rsid w:val="0056685D"/>
    <w:rsid w:val="00566D73"/>
    <w:rsid w:val="005721C9"/>
    <w:rsid w:val="0057222F"/>
    <w:rsid w:val="00572367"/>
    <w:rsid w:val="00572544"/>
    <w:rsid w:val="0057275C"/>
    <w:rsid w:val="00574221"/>
    <w:rsid w:val="00574333"/>
    <w:rsid w:val="00574360"/>
    <w:rsid w:val="00575A81"/>
    <w:rsid w:val="00576749"/>
    <w:rsid w:val="005770C7"/>
    <w:rsid w:val="00577D50"/>
    <w:rsid w:val="00580BBC"/>
    <w:rsid w:val="0058206F"/>
    <w:rsid w:val="005820FC"/>
    <w:rsid w:val="00582FC5"/>
    <w:rsid w:val="00583184"/>
    <w:rsid w:val="0058363C"/>
    <w:rsid w:val="00583E85"/>
    <w:rsid w:val="005848A2"/>
    <w:rsid w:val="00590A57"/>
    <w:rsid w:val="00591395"/>
    <w:rsid w:val="005935FC"/>
    <w:rsid w:val="00594FFE"/>
    <w:rsid w:val="00595054"/>
    <w:rsid w:val="0059526E"/>
    <w:rsid w:val="00595915"/>
    <w:rsid w:val="00596921"/>
    <w:rsid w:val="005A039B"/>
    <w:rsid w:val="005A09CC"/>
    <w:rsid w:val="005A0FCE"/>
    <w:rsid w:val="005A18DE"/>
    <w:rsid w:val="005A1D0C"/>
    <w:rsid w:val="005A356E"/>
    <w:rsid w:val="005A3E03"/>
    <w:rsid w:val="005A51AE"/>
    <w:rsid w:val="005B2D9B"/>
    <w:rsid w:val="005B41D1"/>
    <w:rsid w:val="005B6B44"/>
    <w:rsid w:val="005B7932"/>
    <w:rsid w:val="005C1EF9"/>
    <w:rsid w:val="005C271A"/>
    <w:rsid w:val="005C34D2"/>
    <w:rsid w:val="005C4D97"/>
    <w:rsid w:val="005C5E76"/>
    <w:rsid w:val="005C6CDE"/>
    <w:rsid w:val="005C7A17"/>
    <w:rsid w:val="005C7B00"/>
    <w:rsid w:val="005D0042"/>
    <w:rsid w:val="005D053F"/>
    <w:rsid w:val="005D3932"/>
    <w:rsid w:val="005D4C0B"/>
    <w:rsid w:val="005D600C"/>
    <w:rsid w:val="005D71E4"/>
    <w:rsid w:val="005D7DF8"/>
    <w:rsid w:val="005E0471"/>
    <w:rsid w:val="005E0B1F"/>
    <w:rsid w:val="005E10E9"/>
    <w:rsid w:val="005E247D"/>
    <w:rsid w:val="005E34C9"/>
    <w:rsid w:val="005E4177"/>
    <w:rsid w:val="005E5827"/>
    <w:rsid w:val="005E7DE1"/>
    <w:rsid w:val="005F0132"/>
    <w:rsid w:val="005F0BBD"/>
    <w:rsid w:val="005F7B81"/>
    <w:rsid w:val="00600698"/>
    <w:rsid w:val="00601B7D"/>
    <w:rsid w:val="0060241E"/>
    <w:rsid w:val="00602C13"/>
    <w:rsid w:val="006031E7"/>
    <w:rsid w:val="00604442"/>
    <w:rsid w:val="006044A2"/>
    <w:rsid w:val="006050D2"/>
    <w:rsid w:val="006059CD"/>
    <w:rsid w:val="00605C34"/>
    <w:rsid w:val="0060630E"/>
    <w:rsid w:val="00606454"/>
    <w:rsid w:val="00606589"/>
    <w:rsid w:val="006065D1"/>
    <w:rsid w:val="00606A7E"/>
    <w:rsid w:val="00606BA0"/>
    <w:rsid w:val="00611372"/>
    <w:rsid w:val="00611436"/>
    <w:rsid w:val="00611532"/>
    <w:rsid w:val="00612045"/>
    <w:rsid w:val="006137DA"/>
    <w:rsid w:val="00614EB8"/>
    <w:rsid w:val="00615697"/>
    <w:rsid w:val="006156C3"/>
    <w:rsid w:val="00615852"/>
    <w:rsid w:val="00616EC3"/>
    <w:rsid w:val="00617DA1"/>
    <w:rsid w:val="0062072D"/>
    <w:rsid w:val="00620A86"/>
    <w:rsid w:val="00621274"/>
    <w:rsid w:val="00622B6D"/>
    <w:rsid w:val="00622CA6"/>
    <w:rsid w:val="00622EEF"/>
    <w:rsid w:val="00623B9E"/>
    <w:rsid w:val="00623F7E"/>
    <w:rsid w:val="00626231"/>
    <w:rsid w:val="006304D6"/>
    <w:rsid w:val="0063220E"/>
    <w:rsid w:val="0063375E"/>
    <w:rsid w:val="00634174"/>
    <w:rsid w:val="006357E3"/>
    <w:rsid w:val="00637078"/>
    <w:rsid w:val="006373EE"/>
    <w:rsid w:val="00637500"/>
    <w:rsid w:val="00637A27"/>
    <w:rsid w:val="0064184B"/>
    <w:rsid w:val="00641A8A"/>
    <w:rsid w:val="00643751"/>
    <w:rsid w:val="006447E0"/>
    <w:rsid w:val="0064487E"/>
    <w:rsid w:val="00646803"/>
    <w:rsid w:val="006472F4"/>
    <w:rsid w:val="00647FEA"/>
    <w:rsid w:val="00650157"/>
    <w:rsid w:val="006508B1"/>
    <w:rsid w:val="0065094B"/>
    <w:rsid w:val="0065198C"/>
    <w:rsid w:val="00651C97"/>
    <w:rsid w:val="006538BB"/>
    <w:rsid w:val="0065571A"/>
    <w:rsid w:val="00656237"/>
    <w:rsid w:val="00656F4E"/>
    <w:rsid w:val="00657B6E"/>
    <w:rsid w:val="00660EBB"/>
    <w:rsid w:val="00661638"/>
    <w:rsid w:val="00662643"/>
    <w:rsid w:val="00662957"/>
    <w:rsid w:val="00663EFF"/>
    <w:rsid w:val="006647B9"/>
    <w:rsid w:val="00664CF4"/>
    <w:rsid w:val="0066677E"/>
    <w:rsid w:val="00667350"/>
    <w:rsid w:val="00670AB2"/>
    <w:rsid w:val="00671DD2"/>
    <w:rsid w:val="00672BBC"/>
    <w:rsid w:val="00672D2E"/>
    <w:rsid w:val="00675D90"/>
    <w:rsid w:val="00675FAB"/>
    <w:rsid w:val="00677863"/>
    <w:rsid w:val="00677CD9"/>
    <w:rsid w:val="006814A3"/>
    <w:rsid w:val="00681F73"/>
    <w:rsid w:val="0068246F"/>
    <w:rsid w:val="00683256"/>
    <w:rsid w:val="006832D1"/>
    <w:rsid w:val="00684A6B"/>
    <w:rsid w:val="00685338"/>
    <w:rsid w:val="0068573D"/>
    <w:rsid w:val="006858B5"/>
    <w:rsid w:val="00685F37"/>
    <w:rsid w:val="00686E77"/>
    <w:rsid w:val="006876D8"/>
    <w:rsid w:val="00687D91"/>
    <w:rsid w:val="006901A7"/>
    <w:rsid w:val="0069078D"/>
    <w:rsid w:val="00691E76"/>
    <w:rsid w:val="0069400C"/>
    <w:rsid w:val="006959D4"/>
    <w:rsid w:val="00697A9C"/>
    <w:rsid w:val="00697B35"/>
    <w:rsid w:val="006A003D"/>
    <w:rsid w:val="006A260C"/>
    <w:rsid w:val="006A2B94"/>
    <w:rsid w:val="006A34D9"/>
    <w:rsid w:val="006A3A7D"/>
    <w:rsid w:val="006A3F0C"/>
    <w:rsid w:val="006A4D82"/>
    <w:rsid w:val="006A53DB"/>
    <w:rsid w:val="006A5CA8"/>
    <w:rsid w:val="006A60C9"/>
    <w:rsid w:val="006A7044"/>
    <w:rsid w:val="006A7311"/>
    <w:rsid w:val="006A7641"/>
    <w:rsid w:val="006A7DFD"/>
    <w:rsid w:val="006B2911"/>
    <w:rsid w:val="006B3B78"/>
    <w:rsid w:val="006B5F2D"/>
    <w:rsid w:val="006B6E3B"/>
    <w:rsid w:val="006B7815"/>
    <w:rsid w:val="006C0710"/>
    <w:rsid w:val="006C0DAF"/>
    <w:rsid w:val="006C119C"/>
    <w:rsid w:val="006C12EF"/>
    <w:rsid w:val="006C42B0"/>
    <w:rsid w:val="006C515A"/>
    <w:rsid w:val="006C71F3"/>
    <w:rsid w:val="006D1460"/>
    <w:rsid w:val="006D1742"/>
    <w:rsid w:val="006D1DD6"/>
    <w:rsid w:val="006D2725"/>
    <w:rsid w:val="006D37F4"/>
    <w:rsid w:val="006D3E8F"/>
    <w:rsid w:val="006D63F8"/>
    <w:rsid w:val="006E0B2E"/>
    <w:rsid w:val="006E1045"/>
    <w:rsid w:val="006E12DC"/>
    <w:rsid w:val="006E5B65"/>
    <w:rsid w:val="006E6455"/>
    <w:rsid w:val="006E670E"/>
    <w:rsid w:val="006E7047"/>
    <w:rsid w:val="006E7C8D"/>
    <w:rsid w:val="006F0992"/>
    <w:rsid w:val="006F1980"/>
    <w:rsid w:val="006F24CB"/>
    <w:rsid w:val="006F32F1"/>
    <w:rsid w:val="006F3AB8"/>
    <w:rsid w:val="006F3E5B"/>
    <w:rsid w:val="006F4B86"/>
    <w:rsid w:val="006F4FFD"/>
    <w:rsid w:val="006F7628"/>
    <w:rsid w:val="006F7E49"/>
    <w:rsid w:val="0070235B"/>
    <w:rsid w:val="007029E2"/>
    <w:rsid w:val="00702F35"/>
    <w:rsid w:val="0070389E"/>
    <w:rsid w:val="007056A2"/>
    <w:rsid w:val="00705C94"/>
    <w:rsid w:val="007103C3"/>
    <w:rsid w:val="0071071E"/>
    <w:rsid w:val="007109C9"/>
    <w:rsid w:val="00712BE5"/>
    <w:rsid w:val="00715659"/>
    <w:rsid w:val="00720315"/>
    <w:rsid w:val="007203D9"/>
    <w:rsid w:val="007209AC"/>
    <w:rsid w:val="007232D8"/>
    <w:rsid w:val="00723812"/>
    <w:rsid w:val="00724BF0"/>
    <w:rsid w:val="00724E4D"/>
    <w:rsid w:val="00725247"/>
    <w:rsid w:val="0072592B"/>
    <w:rsid w:val="00726996"/>
    <w:rsid w:val="00726BC2"/>
    <w:rsid w:val="007304F5"/>
    <w:rsid w:val="00730BF4"/>
    <w:rsid w:val="007310D5"/>
    <w:rsid w:val="00732A9C"/>
    <w:rsid w:val="00733D3E"/>
    <w:rsid w:val="00733DF5"/>
    <w:rsid w:val="00734C7A"/>
    <w:rsid w:val="007350E3"/>
    <w:rsid w:val="00736E4A"/>
    <w:rsid w:val="007374F3"/>
    <w:rsid w:val="00740369"/>
    <w:rsid w:val="007412B8"/>
    <w:rsid w:val="00741EA0"/>
    <w:rsid w:val="007425EA"/>
    <w:rsid w:val="00742824"/>
    <w:rsid w:val="00745234"/>
    <w:rsid w:val="00745B9B"/>
    <w:rsid w:val="007464F7"/>
    <w:rsid w:val="0074681E"/>
    <w:rsid w:val="00746842"/>
    <w:rsid w:val="0074799F"/>
    <w:rsid w:val="00747B9F"/>
    <w:rsid w:val="00747CF7"/>
    <w:rsid w:val="00750110"/>
    <w:rsid w:val="007508C7"/>
    <w:rsid w:val="00752516"/>
    <w:rsid w:val="00754B3A"/>
    <w:rsid w:val="00755116"/>
    <w:rsid w:val="0076049B"/>
    <w:rsid w:val="00761321"/>
    <w:rsid w:val="00762CA8"/>
    <w:rsid w:val="0076357D"/>
    <w:rsid w:val="0076597C"/>
    <w:rsid w:val="007667E3"/>
    <w:rsid w:val="00766970"/>
    <w:rsid w:val="007672D1"/>
    <w:rsid w:val="007700B7"/>
    <w:rsid w:val="00770567"/>
    <w:rsid w:val="00770727"/>
    <w:rsid w:val="00771829"/>
    <w:rsid w:val="00771BDE"/>
    <w:rsid w:val="00771CE0"/>
    <w:rsid w:val="007723F4"/>
    <w:rsid w:val="007724DC"/>
    <w:rsid w:val="007725CA"/>
    <w:rsid w:val="00772D33"/>
    <w:rsid w:val="00773332"/>
    <w:rsid w:val="0077342C"/>
    <w:rsid w:val="00773708"/>
    <w:rsid w:val="00774849"/>
    <w:rsid w:val="00776080"/>
    <w:rsid w:val="0078060C"/>
    <w:rsid w:val="00783727"/>
    <w:rsid w:val="007837C7"/>
    <w:rsid w:val="0078497C"/>
    <w:rsid w:val="00784981"/>
    <w:rsid w:val="00784AC8"/>
    <w:rsid w:val="00784D18"/>
    <w:rsid w:val="00784F01"/>
    <w:rsid w:val="00785565"/>
    <w:rsid w:val="0079041A"/>
    <w:rsid w:val="00790D82"/>
    <w:rsid w:val="00791911"/>
    <w:rsid w:val="00792476"/>
    <w:rsid w:val="00793350"/>
    <w:rsid w:val="00793B3A"/>
    <w:rsid w:val="0079447F"/>
    <w:rsid w:val="007949EA"/>
    <w:rsid w:val="007955BE"/>
    <w:rsid w:val="007A0373"/>
    <w:rsid w:val="007A167C"/>
    <w:rsid w:val="007A209A"/>
    <w:rsid w:val="007A35D1"/>
    <w:rsid w:val="007A469D"/>
    <w:rsid w:val="007A5154"/>
    <w:rsid w:val="007A7683"/>
    <w:rsid w:val="007A78AC"/>
    <w:rsid w:val="007A7DF7"/>
    <w:rsid w:val="007B0B31"/>
    <w:rsid w:val="007B10D2"/>
    <w:rsid w:val="007B19DB"/>
    <w:rsid w:val="007B2F52"/>
    <w:rsid w:val="007B3335"/>
    <w:rsid w:val="007B4396"/>
    <w:rsid w:val="007B4427"/>
    <w:rsid w:val="007B4E0B"/>
    <w:rsid w:val="007B59EC"/>
    <w:rsid w:val="007B5A6D"/>
    <w:rsid w:val="007B6586"/>
    <w:rsid w:val="007B6E0D"/>
    <w:rsid w:val="007B6E7E"/>
    <w:rsid w:val="007C0BB3"/>
    <w:rsid w:val="007C2065"/>
    <w:rsid w:val="007C27FC"/>
    <w:rsid w:val="007C38B2"/>
    <w:rsid w:val="007C457A"/>
    <w:rsid w:val="007C50AB"/>
    <w:rsid w:val="007C5F0A"/>
    <w:rsid w:val="007C7943"/>
    <w:rsid w:val="007D21C1"/>
    <w:rsid w:val="007D2599"/>
    <w:rsid w:val="007D5138"/>
    <w:rsid w:val="007D780F"/>
    <w:rsid w:val="007E179E"/>
    <w:rsid w:val="007E2A6B"/>
    <w:rsid w:val="007E2A83"/>
    <w:rsid w:val="007E3440"/>
    <w:rsid w:val="007E4435"/>
    <w:rsid w:val="007E4CEE"/>
    <w:rsid w:val="007E58C1"/>
    <w:rsid w:val="007E60A1"/>
    <w:rsid w:val="007F00AF"/>
    <w:rsid w:val="007F1C60"/>
    <w:rsid w:val="007F22BD"/>
    <w:rsid w:val="007F2D94"/>
    <w:rsid w:val="007F3E62"/>
    <w:rsid w:val="007F3EF1"/>
    <w:rsid w:val="007F4643"/>
    <w:rsid w:val="007F48EA"/>
    <w:rsid w:val="007F7AF9"/>
    <w:rsid w:val="007F7FC8"/>
    <w:rsid w:val="0080054A"/>
    <w:rsid w:val="008009AE"/>
    <w:rsid w:val="008018B0"/>
    <w:rsid w:val="008026AB"/>
    <w:rsid w:val="00802D1E"/>
    <w:rsid w:val="0080332C"/>
    <w:rsid w:val="00804207"/>
    <w:rsid w:val="008042DD"/>
    <w:rsid w:val="00804C2C"/>
    <w:rsid w:val="00804DFD"/>
    <w:rsid w:val="008059B5"/>
    <w:rsid w:val="00806901"/>
    <w:rsid w:val="00806EB6"/>
    <w:rsid w:val="00807006"/>
    <w:rsid w:val="00807220"/>
    <w:rsid w:val="00807473"/>
    <w:rsid w:val="00807BD7"/>
    <w:rsid w:val="008104E2"/>
    <w:rsid w:val="0081094A"/>
    <w:rsid w:val="00810CCC"/>
    <w:rsid w:val="00810FCF"/>
    <w:rsid w:val="00811F41"/>
    <w:rsid w:val="0081338C"/>
    <w:rsid w:val="00815058"/>
    <w:rsid w:val="00815617"/>
    <w:rsid w:val="00816CFD"/>
    <w:rsid w:val="00820985"/>
    <w:rsid w:val="008209BA"/>
    <w:rsid w:val="008214C5"/>
    <w:rsid w:val="008238FF"/>
    <w:rsid w:val="00823C68"/>
    <w:rsid w:val="008246A2"/>
    <w:rsid w:val="00824AB1"/>
    <w:rsid w:val="00824C99"/>
    <w:rsid w:val="00825104"/>
    <w:rsid w:val="0082549A"/>
    <w:rsid w:val="00827B47"/>
    <w:rsid w:val="008316F6"/>
    <w:rsid w:val="008332B7"/>
    <w:rsid w:val="00833307"/>
    <w:rsid w:val="00833878"/>
    <w:rsid w:val="00833C94"/>
    <w:rsid w:val="00833CEF"/>
    <w:rsid w:val="00834018"/>
    <w:rsid w:val="00834932"/>
    <w:rsid w:val="00834E7F"/>
    <w:rsid w:val="008363EB"/>
    <w:rsid w:val="008371E6"/>
    <w:rsid w:val="008375C2"/>
    <w:rsid w:val="00841D40"/>
    <w:rsid w:val="00841EF3"/>
    <w:rsid w:val="00842453"/>
    <w:rsid w:val="008424FA"/>
    <w:rsid w:val="008426F4"/>
    <w:rsid w:val="008432F7"/>
    <w:rsid w:val="00843B63"/>
    <w:rsid w:val="00843E68"/>
    <w:rsid w:val="00844EE8"/>
    <w:rsid w:val="008450F0"/>
    <w:rsid w:val="00845AB0"/>
    <w:rsid w:val="008462AF"/>
    <w:rsid w:val="0084679C"/>
    <w:rsid w:val="00847404"/>
    <w:rsid w:val="00847805"/>
    <w:rsid w:val="008500F9"/>
    <w:rsid w:val="008513AE"/>
    <w:rsid w:val="008532BC"/>
    <w:rsid w:val="00853567"/>
    <w:rsid w:val="00854194"/>
    <w:rsid w:val="00855FD8"/>
    <w:rsid w:val="00856068"/>
    <w:rsid w:val="008564E6"/>
    <w:rsid w:val="00857781"/>
    <w:rsid w:val="00857CA2"/>
    <w:rsid w:val="0086347E"/>
    <w:rsid w:val="00863F02"/>
    <w:rsid w:val="008646EA"/>
    <w:rsid w:val="0086545F"/>
    <w:rsid w:val="00865C9D"/>
    <w:rsid w:val="00866DD8"/>
    <w:rsid w:val="00867BB2"/>
    <w:rsid w:val="00870916"/>
    <w:rsid w:val="00871A29"/>
    <w:rsid w:val="00873089"/>
    <w:rsid w:val="00873D8C"/>
    <w:rsid w:val="0087491C"/>
    <w:rsid w:val="00877324"/>
    <w:rsid w:val="00877848"/>
    <w:rsid w:val="00877A12"/>
    <w:rsid w:val="008801A2"/>
    <w:rsid w:val="00884144"/>
    <w:rsid w:val="0088564E"/>
    <w:rsid w:val="00891049"/>
    <w:rsid w:val="00891F61"/>
    <w:rsid w:val="0089283E"/>
    <w:rsid w:val="0089329C"/>
    <w:rsid w:val="00894924"/>
    <w:rsid w:val="0089554B"/>
    <w:rsid w:val="00895E12"/>
    <w:rsid w:val="00896A4C"/>
    <w:rsid w:val="008979C7"/>
    <w:rsid w:val="00897D17"/>
    <w:rsid w:val="00897E0F"/>
    <w:rsid w:val="008A2948"/>
    <w:rsid w:val="008A333A"/>
    <w:rsid w:val="008A3FFF"/>
    <w:rsid w:val="008A439C"/>
    <w:rsid w:val="008A5DB3"/>
    <w:rsid w:val="008A7A5D"/>
    <w:rsid w:val="008A7DBB"/>
    <w:rsid w:val="008B1C64"/>
    <w:rsid w:val="008B4541"/>
    <w:rsid w:val="008B5FD7"/>
    <w:rsid w:val="008B7A31"/>
    <w:rsid w:val="008C010D"/>
    <w:rsid w:val="008C0D11"/>
    <w:rsid w:val="008C0D81"/>
    <w:rsid w:val="008C1717"/>
    <w:rsid w:val="008C1977"/>
    <w:rsid w:val="008C32EB"/>
    <w:rsid w:val="008C343D"/>
    <w:rsid w:val="008C347F"/>
    <w:rsid w:val="008C54B1"/>
    <w:rsid w:val="008C664E"/>
    <w:rsid w:val="008C76B1"/>
    <w:rsid w:val="008C7F01"/>
    <w:rsid w:val="008D0033"/>
    <w:rsid w:val="008D074F"/>
    <w:rsid w:val="008D0FF4"/>
    <w:rsid w:val="008D1A5A"/>
    <w:rsid w:val="008D29D4"/>
    <w:rsid w:val="008D2F91"/>
    <w:rsid w:val="008D34A3"/>
    <w:rsid w:val="008D38DA"/>
    <w:rsid w:val="008D4E3C"/>
    <w:rsid w:val="008E028C"/>
    <w:rsid w:val="008E0448"/>
    <w:rsid w:val="008E04AB"/>
    <w:rsid w:val="008E2EB7"/>
    <w:rsid w:val="008E2FA7"/>
    <w:rsid w:val="008E3286"/>
    <w:rsid w:val="008E4149"/>
    <w:rsid w:val="008E4EE5"/>
    <w:rsid w:val="008E5434"/>
    <w:rsid w:val="008E6021"/>
    <w:rsid w:val="008E617A"/>
    <w:rsid w:val="008E6872"/>
    <w:rsid w:val="008E7524"/>
    <w:rsid w:val="008E7948"/>
    <w:rsid w:val="008F0F69"/>
    <w:rsid w:val="008F2F6E"/>
    <w:rsid w:val="008F30E9"/>
    <w:rsid w:val="008F38D4"/>
    <w:rsid w:val="008F43A6"/>
    <w:rsid w:val="008F4666"/>
    <w:rsid w:val="008F5F96"/>
    <w:rsid w:val="008F60A7"/>
    <w:rsid w:val="008F7712"/>
    <w:rsid w:val="00902819"/>
    <w:rsid w:val="00903009"/>
    <w:rsid w:val="00903856"/>
    <w:rsid w:val="00904C17"/>
    <w:rsid w:val="00905DBA"/>
    <w:rsid w:val="00906A44"/>
    <w:rsid w:val="009079D5"/>
    <w:rsid w:val="009105F8"/>
    <w:rsid w:val="00911F89"/>
    <w:rsid w:val="00912358"/>
    <w:rsid w:val="00912B53"/>
    <w:rsid w:val="0091340A"/>
    <w:rsid w:val="00913604"/>
    <w:rsid w:val="009148BB"/>
    <w:rsid w:val="00914D93"/>
    <w:rsid w:val="009153E5"/>
    <w:rsid w:val="00915E72"/>
    <w:rsid w:val="00917277"/>
    <w:rsid w:val="009209FB"/>
    <w:rsid w:val="0092106C"/>
    <w:rsid w:val="00921742"/>
    <w:rsid w:val="00921C1A"/>
    <w:rsid w:val="00922230"/>
    <w:rsid w:val="00923632"/>
    <w:rsid w:val="009239D4"/>
    <w:rsid w:val="00924045"/>
    <w:rsid w:val="009246F8"/>
    <w:rsid w:val="00924A99"/>
    <w:rsid w:val="00924E63"/>
    <w:rsid w:val="0092512B"/>
    <w:rsid w:val="009252F1"/>
    <w:rsid w:val="00926EFD"/>
    <w:rsid w:val="009271FA"/>
    <w:rsid w:val="00930B1F"/>
    <w:rsid w:val="00932425"/>
    <w:rsid w:val="00932AEE"/>
    <w:rsid w:val="00932B8C"/>
    <w:rsid w:val="00933955"/>
    <w:rsid w:val="009342EA"/>
    <w:rsid w:val="009354B2"/>
    <w:rsid w:val="00936E1F"/>
    <w:rsid w:val="0094037D"/>
    <w:rsid w:val="00941B11"/>
    <w:rsid w:val="00942932"/>
    <w:rsid w:val="00943105"/>
    <w:rsid w:val="00943DB4"/>
    <w:rsid w:val="0094564A"/>
    <w:rsid w:val="00945AEA"/>
    <w:rsid w:val="00945F25"/>
    <w:rsid w:val="00945F80"/>
    <w:rsid w:val="00946DA6"/>
    <w:rsid w:val="009471C5"/>
    <w:rsid w:val="009472C8"/>
    <w:rsid w:val="0094762E"/>
    <w:rsid w:val="009511D2"/>
    <w:rsid w:val="0095165A"/>
    <w:rsid w:val="00951FCD"/>
    <w:rsid w:val="00952FF2"/>
    <w:rsid w:val="00954AF1"/>
    <w:rsid w:val="00954D12"/>
    <w:rsid w:val="009557FB"/>
    <w:rsid w:val="00956FC4"/>
    <w:rsid w:val="009606DB"/>
    <w:rsid w:val="00961A03"/>
    <w:rsid w:val="00961C60"/>
    <w:rsid w:val="00961C8B"/>
    <w:rsid w:val="009622F1"/>
    <w:rsid w:val="0096252D"/>
    <w:rsid w:val="00962B2A"/>
    <w:rsid w:val="00963592"/>
    <w:rsid w:val="00964A40"/>
    <w:rsid w:val="00966EFB"/>
    <w:rsid w:val="009673FA"/>
    <w:rsid w:val="00967722"/>
    <w:rsid w:val="0096795B"/>
    <w:rsid w:val="0097062D"/>
    <w:rsid w:val="00971379"/>
    <w:rsid w:val="00974632"/>
    <w:rsid w:val="00974B6C"/>
    <w:rsid w:val="00975EF7"/>
    <w:rsid w:val="009760D4"/>
    <w:rsid w:val="0097698C"/>
    <w:rsid w:val="009772CD"/>
    <w:rsid w:val="00980621"/>
    <w:rsid w:val="00983C69"/>
    <w:rsid w:val="0098435F"/>
    <w:rsid w:val="00984B67"/>
    <w:rsid w:val="00985662"/>
    <w:rsid w:val="00991170"/>
    <w:rsid w:val="0099198B"/>
    <w:rsid w:val="00996FB8"/>
    <w:rsid w:val="0099752A"/>
    <w:rsid w:val="009A02ED"/>
    <w:rsid w:val="009A05FD"/>
    <w:rsid w:val="009A17A1"/>
    <w:rsid w:val="009A43EB"/>
    <w:rsid w:val="009A52D3"/>
    <w:rsid w:val="009A5B42"/>
    <w:rsid w:val="009A5DD6"/>
    <w:rsid w:val="009A60D4"/>
    <w:rsid w:val="009A723F"/>
    <w:rsid w:val="009A7C9B"/>
    <w:rsid w:val="009B002D"/>
    <w:rsid w:val="009B16B2"/>
    <w:rsid w:val="009B17D3"/>
    <w:rsid w:val="009B318D"/>
    <w:rsid w:val="009B4691"/>
    <w:rsid w:val="009B46C3"/>
    <w:rsid w:val="009B4B27"/>
    <w:rsid w:val="009B646F"/>
    <w:rsid w:val="009B7160"/>
    <w:rsid w:val="009B78B5"/>
    <w:rsid w:val="009C0490"/>
    <w:rsid w:val="009C05F6"/>
    <w:rsid w:val="009C084D"/>
    <w:rsid w:val="009C0858"/>
    <w:rsid w:val="009C3819"/>
    <w:rsid w:val="009C3D98"/>
    <w:rsid w:val="009C4919"/>
    <w:rsid w:val="009C4B2A"/>
    <w:rsid w:val="009C5549"/>
    <w:rsid w:val="009C63E4"/>
    <w:rsid w:val="009C718C"/>
    <w:rsid w:val="009C763F"/>
    <w:rsid w:val="009D0E7F"/>
    <w:rsid w:val="009D0EFD"/>
    <w:rsid w:val="009D1307"/>
    <w:rsid w:val="009D17D9"/>
    <w:rsid w:val="009D2ECC"/>
    <w:rsid w:val="009D3B42"/>
    <w:rsid w:val="009D7B2F"/>
    <w:rsid w:val="009D7D7C"/>
    <w:rsid w:val="009E0D36"/>
    <w:rsid w:val="009E11E1"/>
    <w:rsid w:val="009E1B6A"/>
    <w:rsid w:val="009E30B4"/>
    <w:rsid w:val="009E3BA1"/>
    <w:rsid w:val="009E48D2"/>
    <w:rsid w:val="009E651E"/>
    <w:rsid w:val="009E6DA6"/>
    <w:rsid w:val="009F0CA4"/>
    <w:rsid w:val="009F226C"/>
    <w:rsid w:val="009F2E00"/>
    <w:rsid w:val="009F2F4A"/>
    <w:rsid w:val="009F429C"/>
    <w:rsid w:val="009F4BCF"/>
    <w:rsid w:val="009F5669"/>
    <w:rsid w:val="009F57BB"/>
    <w:rsid w:val="009F5BAD"/>
    <w:rsid w:val="009F5E38"/>
    <w:rsid w:val="009F76D1"/>
    <w:rsid w:val="009F7848"/>
    <w:rsid w:val="009F7DEF"/>
    <w:rsid w:val="00A00586"/>
    <w:rsid w:val="00A00D91"/>
    <w:rsid w:val="00A03900"/>
    <w:rsid w:val="00A03EA7"/>
    <w:rsid w:val="00A03F1D"/>
    <w:rsid w:val="00A0535A"/>
    <w:rsid w:val="00A05931"/>
    <w:rsid w:val="00A07056"/>
    <w:rsid w:val="00A073CC"/>
    <w:rsid w:val="00A10C0D"/>
    <w:rsid w:val="00A115F3"/>
    <w:rsid w:val="00A12006"/>
    <w:rsid w:val="00A1241C"/>
    <w:rsid w:val="00A12B6F"/>
    <w:rsid w:val="00A13DE9"/>
    <w:rsid w:val="00A13ED4"/>
    <w:rsid w:val="00A14E90"/>
    <w:rsid w:val="00A15673"/>
    <w:rsid w:val="00A17476"/>
    <w:rsid w:val="00A176A8"/>
    <w:rsid w:val="00A2012D"/>
    <w:rsid w:val="00A223BE"/>
    <w:rsid w:val="00A22D85"/>
    <w:rsid w:val="00A25FC1"/>
    <w:rsid w:val="00A308ED"/>
    <w:rsid w:val="00A30D4B"/>
    <w:rsid w:val="00A30F59"/>
    <w:rsid w:val="00A312B0"/>
    <w:rsid w:val="00A31A59"/>
    <w:rsid w:val="00A31E44"/>
    <w:rsid w:val="00A321D2"/>
    <w:rsid w:val="00A32EE6"/>
    <w:rsid w:val="00A3393D"/>
    <w:rsid w:val="00A34218"/>
    <w:rsid w:val="00A3579C"/>
    <w:rsid w:val="00A37110"/>
    <w:rsid w:val="00A37366"/>
    <w:rsid w:val="00A37598"/>
    <w:rsid w:val="00A40257"/>
    <w:rsid w:val="00A402A4"/>
    <w:rsid w:val="00A4039C"/>
    <w:rsid w:val="00A40AE8"/>
    <w:rsid w:val="00A41BB7"/>
    <w:rsid w:val="00A42831"/>
    <w:rsid w:val="00A42922"/>
    <w:rsid w:val="00A432B5"/>
    <w:rsid w:val="00A45011"/>
    <w:rsid w:val="00A45071"/>
    <w:rsid w:val="00A4547B"/>
    <w:rsid w:val="00A45863"/>
    <w:rsid w:val="00A46622"/>
    <w:rsid w:val="00A47A92"/>
    <w:rsid w:val="00A50E40"/>
    <w:rsid w:val="00A517EB"/>
    <w:rsid w:val="00A51C8B"/>
    <w:rsid w:val="00A52A6E"/>
    <w:rsid w:val="00A55B9A"/>
    <w:rsid w:val="00A57C8F"/>
    <w:rsid w:val="00A603DA"/>
    <w:rsid w:val="00A60FB9"/>
    <w:rsid w:val="00A62ADE"/>
    <w:rsid w:val="00A62CE4"/>
    <w:rsid w:val="00A62F23"/>
    <w:rsid w:val="00A64554"/>
    <w:rsid w:val="00A65588"/>
    <w:rsid w:val="00A66535"/>
    <w:rsid w:val="00A6796C"/>
    <w:rsid w:val="00A70951"/>
    <w:rsid w:val="00A70C07"/>
    <w:rsid w:val="00A74739"/>
    <w:rsid w:val="00A75330"/>
    <w:rsid w:val="00A77209"/>
    <w:rsid w:val="00A77934"/>
    <w:rsid w:val="00A77A2F"/>
    <w:rsid w:val="00A802E3"/>
    <w:rsid w:val="00A80F79"/>
    <w:rsid w:val="00A81071"/>
    <w:rsid w:val="00A833DA"/>
    <w:rsid w:val="00A83552"/>
    <w:rsid w:val="00A83577"/>
    <w:rsid w:val="00A8432F"/>
    <w:rsid w:val="00A84E9D"/>
    <w:rsid w:val="00A873D4"/>
    <w:rsid w:val="00A87E51"/>
    <w:rsid w:val="00A91F19"/>
    <w:rsid w:val="00A92754"/>
    <w:rsid w:val="00A92FCB"/>
    <w:rsid w:val="00A94CC2"/>
    <w:rsid w:val="00A955C7"/>
    <w:rsid w:val="00A95774"/>
    <w:rsid w:val="00A95A84"/>
    <w:rsid w:val="00A95EF8"/>
    <w:rsid w:val="00A9746D"/>
    <w:rsid w:val="00A97D64"/>
    <w:rsid w:val="00AA0DCB"/>
    <w:rsid w:val="00AA24A5"/>
    <w:rsid w:val="00AA27AF"/>
    <w:rsid w:val="00AA2FCD"/>
    <w:rsid w:val="00AA4772"/>
    <w:rsid w:val="00AA57C6"/>
    <w:rsid w:val="00AA715B"/>
    <w:rsid w:val="00AA738B"/>
    <w:rsid w:val="00AA7880"/>
    <w:rsid w:val="00AB0C70"/>
    <w:rsid w:val="00AB2592"/>
    <w:rsid w:val="00AB29AB"/>
    <w:rsid w:val="00AB2DC6"/>
    <w:rsid w:val="00AB4BCC"/>
    <w:rsid w:val="00AB5798"/>
    <w:rsid w:val="00AB5C17"/>
    <w:rsid w:val="00AB686E"/>
    <w:rsid w:val="00AC0022"/>
    <w:rsid w:val="00AC033E"/>
    <w:rsid w:val="00AC0FF1"/>
    <w:rsid w:val="00AC123D"/>
    <w:rsid w:val="00AC15FB"/>
    <w:rsid w:val="00AC1665"/>
    <w:rsid w:val="00AC173E"/>
    <w:rsid w:val="00AC1BE2"/>
    <w:rsid w:val="00AC1E85"/>
    <w:rsid w:val="00AC347B"/>
    <w:rsid w:val="00AC36D3"/>
    <w:rsid w:val="00AC3B4F"/>
    <w:rsid w:val="00AC46EC"/>
    <w:rsid w:val="00AC4D1B"/>
    <w:rsid w:val="00AC730A"/>
    <w:rsid w:val="00AC7D13"/>
    <w:rsid w:val="00AD035C"/>
    <w:rsid w:val="00AD063C"/>
    <w:rsid w:val="00AD111C"/>
    <w:rsid w:val="00AD2693"/>
    <w:rsid w:val="00AD33AC"/>
    <w:rsid w:val="00AD4286"/>
    <w:rsid w:val="00AD5193"/>
    <w:rsid w:val="00AD6388"/>
    <w:rsid w:val="00AD68EB"/>
    <w:rsid w:val="00AD71C9"/>
    <w:rsid w:val="00AD71CD"/>
    <w:rsid w:val="00AD7498"/>
    <w:rsid w:val="00AE0089"/>
    <w:rsid w:val="00AE05CD"/>
    <w:rsid w:val="00AE0B1A"/>
    <w:rsid w:val="00AE11C4"/>
    <w:rsid w:val="00AE1839"/>
    <w:rsid w:val="00AE218B"/>
    <w:rsid w:val="00AE2F71"/>
    <w:rsid w:val="00AE3C78"/>
    <w:rsid w:val="00AE46B1"/>
    <w:rsid w:val="00AE4B2F"/>
    <w:rsid w:val="00AE4CDE"/>
    <w:rsid w:val="00AE5781"/>
    <w:rsid w:val="00AF0DBD"/>
    <w:rsid w:val="00AF19F3"/>
    <w:rsid w:val="00AF5B25"/>
    <w:rsid w:val="00AF6BB5"/>
    <w:rsid w:val="00AF7038"/>
    <w:rsid w:val="00B00112"/>
    <w:rsid w:val="00B0020F"/>
    <w:rsid w:val="00B00D03"/>
    <w:rsid w:val="00B00D13"/>
    <w:rsid w:val="00B01228"/>
    <w:rsid w:val="00B028DE"/>
    <w:rsid w:val="00B02C47"/>
    <w:rsid w:val="00B0472A"/>
    <w:rsid w:val="00B06091"/>
    <w:rsid w:val="00B06573"/>
    <w:rsid w:val="00B06B6F"/>
    <w:rsid w:val="00B06D98"/>
    <w:rsid w:val="00B07E0B"/>
    <w:rsid w:val="00B10ED7"/>
    <w:rsid w:val="00B11CDE"/>
    <w:rsid w:val="00B12FC9"/>
    <w:rsid w:val="00B13014"/>
    <w:rsid w:val="00B13181"/>
    <w:rsid w:val="00B1353C"/>
    <w:rsid w:val="00B14378"/>
    <w:rsid w:val="00B15C40"/>
    <w:rsid w:val="00B178AB"/>
    <w:rsid w:val="00B212CC"/>
    <w:rsid w:val="00B214AA"/>
    <w:rsid w:val="00B21BCF"/>
    <w:rsid w:val="00B21D09"/>
    <w:rsid w:val="00B22DEA"/>
    <w:rsid w:val="00B231D1"/>
    <w:rsid w:val="00B259BD"/>
    <w:rsid w:val="00B26765"/>
    <w:rsid w:val="00B27176"/>
    <w:rsid w:val="00B3000C"/>
    <w:rsid w:val="00B304A3"/>
    <w:rsid w:val="00B30F58"/>
    <w:rsid w:val="00B31726"/>
    <w:rsid w:val="00B31B92"/>
    <w:rsid w:val="00B337C9"/>
    <w:rsid w:val="00B33CFF"/>
    <w:rsid w:val="00B34012"/>
    <w:rsid w:val="00B347DA"/>
    <w:rsid w:val="00B34A16"/>
    <w:rsid w:val="00B3623D"/>
    <w:rsid w:val="00B364FA"/>
    <w:rsid w:val="00B36C83"/>
    <w:rsid w:val="00B40926"/>
    <w:rsid w:val="00B40B38"/>
    <w:rsid w:val="00B4251F"/>
    <w:rsid w:val="00B42639"/>
    <w:rsid w:val="00B44014"/>
    <w:rsid w:val="00B44C8F"/>
    <w:rsid w:val="00B4523B"/>
    <w:rsid w:val="00B45A60"/>
    <w:rsid w:val="00B467CD"/>
    <w:rsid w:val="00B46954"/>
    <w:rsid w:val="00B47265"/>
    <w:rsid w:val="00B5120A"/>
    <w:rsid w:val="00B52335"/>
    <w:rsid w:val="00B53CAF"/>
    <w:rsid w:val="00B53FEB"/>
    <w:rsid w:val="00B548AF"/>
    <w:rsid w:val="00B5516C"/>
    <w:rsid w:val="00B552DA"/>
    <w:rsid w:val="00B5643D"/>
    <w:rsid w:val="00B57A19"/>
    <w:rsid w:val="00B60477"/>
    <w:rsid w:val="00B60827"/>
    <w:rsid w:val="00B62D5A"/>
    <w:rsid w:val="00B63670"/>
    <w:rsid w:val="00B6392F"/>
    <w:rsid w:val="00B63A8D"/>
    <w:rsid w:val="00B651CC"/>
    <w:rsid w:val="00B65FC5"/>
    <w:rsid w:val="00B6637A"/>
    <w:rsid w:val="00B67338"/>
    <w:rsid w:val="00B67841"/>
    <w:rsid w:val="00B67B84"/>
    <w:rsid w:val="00B7352E"/>
    <w:rsid w:val="00B762A6"/>
    <w:rsid w:val="00B76922"/>
    <w:rsid w:val="00B76C20"/>
    <w:rsid w:val="00B76E60"/>
    <w:rsid w:val="00B81016"/>
    <w:rsid w:val="00B82BBF"/>
    <w:rsid w:val="00B83FFA"/>
    <w:rsid w:val="00B86816"/>
    <w:rsid w:val="00B8697F"/>
    <w:rsid w:val="00B8781A"/>
    <w:rsid w:val="00B87F6D"/>
    <w:rsid w:val="00B9281D"/>
    <w:rsid w:val="00B92C7D"/>
    <w:rsid w:val="00B9392D"/>
    <w:rsid w:val="00B949A9"/>
    <w:rsid w:val="00B96042"/>
    <w:rsid w:val="00B962AF"/>
    <w:rsid w:val="00B96D92"/>
    <w:rsid w:val="00BA0AA9"/>
    <w:rsid w:val="00BA1EAB"/>
    <w:rsid w:val="00BA378B"/>
    <w:rsid w:val="00BA4F6B"/>
    <w:rsid w:val="00BA50D2"/>
    <w:rsid w:val="00BA54A1"/>
    <w:rsid w:val="00BA5D80"/>
    <w:rsid w:val="00BA6613"/>
    <w:rsid w:val="00BA7A72"/>
    <w:rsid w:val="00BB0C63"/>
    <w:rsid w:val="00BB1A7F"/>
    <w:rsid w:val="00BB1F42"/>
    <w:rsid w:val="00BB2432"/>
    <w:rsid w:val="00BB28AC"/>
    <w:rsid w:val="00BB3085"/>
    <w:rsid w:val="00BB34FE"/>
    <w:rsid w:val="00BB3EF9"/>
    <w:rsid w:val="00BB52F3"/>
    <w:rsid w:val="00BB6060"/>
    <w:rsid w:val="00BB6455"/>
    <w:rsid w:val="00BB648B"/>
    <w:rsid w:val="00BB7431"/>
    <w:rsid w:val="00BC0C4E"/>
    <w:rsid w:val="00BC0EF8"/>
    <w:rsid w:val="00BC1E5B"/>
    <w:rsid w:val="00BC2D6E"/>
    <w:rsid w:val="00BC31CD"/>
    <w:rsid w:val="00BC47F5"/>
    <w:rsid w:val="00BC49E3"/>
    <w:rsid w:val="00BC62CF"/>
    <w:rsid w:val="00BC7722"/>
    <w:rsid w:val="00BD03BA"/>
    <w:rsid w:val="00BD0C3C"/>
    <w:rsid w:val="00BD0F8C"/>
    <w:rsid w:val="00BD21C8"/>
    <w:rsid w:val="00BD25C2"/>
    <w:rsid w:val="00BD25F9"/>
    <w:rsid w:val="00BD2905"/>
    <w:rsid w:val="00BD2E74"/>
    <w:rsid w:val="00BD3950"/>
    <w:rsid w:val="00BD4B1F"/>
    <w:rsid w:val="00BD4C6E"/>
    <w:rsid w:val="00BD5F79"/>
    <w:rsid w:val="00BD60C1"/>
    <w:rsid w:val="00BD62A6"/>
    <w:rsid w:val="00BD7374"/>
    <w:rsid w:val="00BD7D6A"/>
    <w:rsid w:val="00BE0578"/>
    <w:rsid w:val="00BE0993"/>
    <w:rsid w:val="00BE1297"/>
    <w:rsid w:val="00BE2A7A"/>
    <w:rsid w:val="00BE391F"/>
    <w:rsid w:val="00BE4487"/>
    <w:rsid w:val="00BE7DCD"/>
    <w:rsid w:val="00BE7E67"/>
    <w:rsid w:val="00BF0593"/>
    <w:rsid w:val="00BF16D1"/>
    <w:rsid w:val="00BF299E"/>
    <w:rsid w:val="00BF3E13"/>
    <w:rsid w:val="00BF6507"/>
    <w:rsid w:val="00BF67B3"/>
    <w:rsid w:val="00BF7D10"/>
    <w:rsid w:val="00C005E2"/>
    <w:rsid w:val="00C0061E"/>
    <w:rsid w:val="00C007F8"/>
    <w:rsid w:val="00C01343"/>
    <w:rsid w:val="00C013FE"/>
    <w:rsid w:val="00C0281D"/>
    <w:rsid w:val="00C05424"/>
    <w:rsid w:val="00C05886"/>
    <w:rsid w:val="00C05956"/>
    <w:rsid w:val="00C06AD4"/>
    <w:rsid w:val="00C06CDB"/>
    <w:rsid w:val="00C101CE"/>
    <w:rsid w:val="00C13DA3"/>
    <w:rsid w:val="00C20C11"/>
    <w:rsid w:val="00C2246D"/>
    <w:rsid w:val="00C224A1"/>
    <w:rsid w:val="00C229E6"/>
    <w:rsid w:val="00C23238"/>
    <w:rsid w:val="00C24B8E"/>
    <w:rsid w:val="00C25357"/>
    <w:rsid w:val="00C27051"/>
    <w:rsid w:val="00C3087E"/>
    <w:rsid w:val="00C30CC1"/>
    <w:rsid w:val="00C30DAE"/>
    <w:rsid w:val="00C33035"/>
    <w:rsid w:val="00C3315E"/>
    <w:rsid w:val="00C34AFC"/>
    <w:rsid w:val="00C34B6E"/>
    <w:rsid w:val="00C369BF"/>
    <w:rsid w:val="00C37273"/>
    <w:rsid w:val="00C37E15"/>
    <w:rsid w:val="00C406DC"/>
    <w:rsid w:val="00C40EFE"/>
    <w:rsid w:val="00C41424"/>
    <w:rsid w:val="00C41956"/>
    <w:rsid w:val="00C43770"/>
    <w:rsid w:val="00C469C6"/>
    <w:rsid w:val="00C514D4"/>
    <w:rsid w:val="00C53ECF"/>
    <w:rsid w:val="00C53F37"/>
    <w:rsid w:val="00C56181"/>
    <w:rsid w:val="00C56901"/>
    <w:rsid w:val="00C56BF2"/>
    <w:rsid w:val="00C57C4F"/>
    <w:rsid w:val="00C60714"/>
    <w:rsid w:val="00C61EAA"/>
    <w:rsid w:val="00C61F06"/>
    <w:rsid w:val="00C62546"/>
    <w:rsid w:val="00C63618"/>
    <w:rsid w:val="00C655A7"/>
    <w:rsid w:val="00C6581A"/>
    <w:rsid w:val="00C74D43"/>
    <w:rsid w:val="00C754A0"/>
    <w:rsid w:val="00C75601"/>
    <w:rsid w:val="00C7653B"/>
    <w:rsid w:val="00C76734"/>
    <w:rsid w:val="00C76F6A"/>
    <w:rsid w:val="00C81E6B"/>
    <w:rsid w:val="00C83600"/>
    <w:rsid w:val="00C838AF"/>
    <w:rsid w:val="00C83FC8"/>
    <w:rsid w:val="00C84A13"/>
    <w:rsid w:val="00C84A40"/>
    <w:rsid w:val="00C857C8"/>
    <w:rsid w:val="00C868EA"/>
    <w:rsid w:val="00C86A7A"/>
    <w:rsid w:val="00C87A54"/>
    <w:rsid w:val="00C90825"/>
    <w:rsid w:val="00C90C77"/>
    <w:rsid w:val="00C9147A"/>
    <w:rsid w:val="00C91C0C"/>
    <w:rsid w:val="00C91CE8"/>
    <w:rsid w:val="00C91D0F"/>
    <w:rsid w:val="00C92129"/>
    <w:rsid w:val="00C92CAC"/>
    <w:rsid w:val="00C93031"/>
    <w:rsid w:val="00C93238"/>
    <w:rsid w:val="00C95A7C"/>
    <w:rsid w:val="00C977C6"/>
    <w:rsid w:val="00CA11AE"/>
    <w:rsid w:val="00CA135B"/>
    <w:rsid w:val="00CA17A0"/>
    <w:rsid w:val="00CA3484"/>
    <w:rsid w:val="00CA3C60"/>
    <w:rsid w:val="00CA5944"/>
    <w:rsid w:val="00CA5D85"/>
    <w:rsid w:val="00CB03A8"/>
    <w:rsid w:val="00CB15EA"/>
    <w:rsid w:val="00CB20A5"/>
    <w:rsid w:val="00CB22F0"/>
    <w:rsid w:val="00CB3B3B"/>
    <w:rsid w:val="00CB42D2"/>
    <w:rsid w:val="00CB5776"/>
    <w:rsid w:val="00CB60D9"/>
    <w:rsid w:val="00CB6EDA"/>
    <w:rsid w:val="00CC1D13"/>
    <w:rsid w:val="00CC2D4F"/>
    <w:rsid w:val="00CC3809"/>
    <w:rsid w:val="00CC3DDD"/>
    <w:rsid w:val="00CC4729"/>
    <w:rsid w:val="00CC4D54"/>
    <w:rsid w:val="00CC504E"/>
    <w:rsid w:val="00CC5582"/>
    <w:rsid w:val="00CC57E6"/>
    <w:rsid w:val="00CC62E8"/>
    <w:rsid w:val="00CC769C"/>
    <w:rsid w:val="00CC7CEC"/>
    <w:rsid w:val="00CD0A9C"/>
    <w:rsid w:val="00CD116F"/>
    <w:rsid w:val="00CD11DF"/>
    <w:rsid w:val="00CD275C"/>
    <w:rsid w:val="00CD3BCC"/>
    <w:rsid w:val="00CD3BD9"/>
    <w:rsid w:val="00CD3E3E"/>
    <w:rsid w:val="00CD55AD"/>
    <w:rsid w:val="00CD6175"/>
    <w:rsid w:val="00CD62D9"/>
    <w:rsid w:val="00CD6F99"/>
    <w:rsid w:val="00CD700C"/>
    <w:rsid w:val="00CD7562"/>
    <w:rsid w:val="00CE05F2"/>
    <w:rsid w:val="00CE2165"/>
    <w:rsid w:val="00CE2207"/>
    <w:rsid w:val="00CE2D17"/>
    <w:rsid w:val="00CE3FC1"/>
    <w:rsid w:val="00CE4B45"/>
    <w:rsid w:val="00CE512F"/>
    <w:rsid w:val="00CE6FEE"/>
    <w:rsid w:val="00CE7AB8"/>
    <w:rsid w:val="00CE7F89"/>
    <w:rsid w:val="00CF2A4F"/>
    <w:rsid w:val="00CF302D"/>
    <w:rsid w:val="00CF3D6D"/>
    <w:rsid w:val="00CF43B6"/>
    <w:rsid w:val="00CF4549"/>
    <w:rsid w:val="00CF487A"/>
    <w:rsid w:val="00CF4BEC"/>
    <w:rsid w:val="00CF4C64"/>
    <w:rsid w:val="00CF4D59"/>
    <w:rsid w:val="00CF4D90"/>
    <w:rsid w:val="00CF6BF7"/>
    <w:rsid w:val="00CF7C60"/>
    <w:rsid w:val="00D00AB6"/>
    <w:rsid w:val="00D01AD7"/>
    <w:rsid w:val="00D0222A"/>
    <w:rsid w:val="00D0263B"/>
    <w:rsid w:val="00D031D8"/>
    <w:rsid w:val="00D036C4"/>
    <w:rsid w:val="00D05A7E"/>
    <w:rsid w:val="00D05B8F"/>
    <w:rsid w:val="00D07126"/>
    <w:rsid w:val="00D07803"/>
    <w:rsid w:val="00D152CA"/>
    <w:rsid w:val="00D17B1D"/>
    <w:rsid w:val="00D17DFC"/>
    <w:rsid w:val="00D2122D"/>
    <w:rsid w:val="00D21760"/>
    <w:rsid w:val="00D21AF4"/>
    <w:rsid w:val="00D22654"/>
    <w:rsid w:val="00D23657"/>
    <w:rsid w:val="00D24117"/>
    <w:rsid w:val="00D24775"/>
    <w:rsid w:val="00D24A02"/>
    <w:rsid w:val="00D25C28"/>
    <w:rsid w:val="00D26EBF"/>
    <w:rsid w:val="00D276D7"/>
    <w:rsid w:val="00D31DC0"/>
    <w:rsid w:val="00D34951"/>
    <w:rsid w:val="00D36961"/>
    <w:rsid w:val="00D37929"/>
    <w:rsid w:val="00D37D0B"/>
    <w:rsid w:val="00D408E8"/>
    <w:rsid w:val="00D40B3B"/>
    <w:rsid w:val="00D41658"/>
    <w:rsid w:val="00D434EE"/>
    <w:rsid w:val="00D43BA4"/>
    <w:rsid w:val="00D46120"/>
    <w:rsid w:val="00D46DDE"/>
    <w:rsid w:val="00D503A0"/>
    <w:rsid w:val="00D521B4"/>
    <w:rsid w:val="00D53D19"/>
    <w:rsid w:val="00D54162"/>
    <w:rsid w:val="00D55024"/>
    <w:rsid w:val="00D56801"/>
    <w:rsid w:val="00D56844"/>
    <w:rsid w:val="00D56C6B"/>
    <w:rsid w:val="00D57073"/>
    <w:rsid w:val="00D575DF"/>
    <w:rsid w:val="00D57674"/>
    <w:rsid w:val="00D60D9D"/>
    <w:rsid w:val="00D61924"/>
    <w:rsid w:val="00D6279C"/>
    <w:rsid w:val="00D63581"/>
    <w:rsid w:val="00D63638"/>
    <w:rsid w:val="00D64578"/>
    <w:rsid w:val="00D65DEE"/>
    <w:rsid w:val="00D6607B"/>
    <w:rsid w:val="00D6670A"/>
    <w:rsid w:val="00D71DA0"/>
    <w:rsid w:val="00D72101"/>
    <w:rsid w:val="00D7302E"/>
    <w:rsid w:val="00D740B0"/>
    <w:rsid w:val="00D74232"/>
    <w:rsid w:val="00D745D5"/>
    <w:rsid w:val="00D75B13"/>
    <w:rsid w:val="00D77307"/>
    <w:rsid w:val="00D77386"/>
    <w:rsid w:val="00D81413"/>
    <w:rsid w:val="00D82A3B"/>
    <w:rsid w:val="00D82C3B"/>
    <w:rsid w:val="00D85916"/>
    <w:rsid w:val="00D85A41"/>
    <w:rsid w:val="00D85CA8"/>
    <w:rsid w:val="00D87943"/>
    <w:rsid w:val="00D879EC"/>
    <w:rsid w:val="00D87B18"/>
    <w:rsid w:val="00D90760"/>
    <w:rsid w:val="00D90CCB"/>
    <w:rsid w:val="00D91096"/>
    <w:rsid w:val="00D91F10"/>
    <w:rsid w:val="00D94B2A"/>
    <w:rsid w:val="00D957A5"/>
    <w:rsid w:val="00D95AF4"/>
    <w:rsid w:val="00D967C1"/>
    <w:rsid w:val="00D9780D"/>
    <w:rsid w:val="00D97DF2"/>
    <w:rsid w:val="00DA0141"/>
    <w:rsid w:val="00DA037D"/>
    <w:rsid w:val="00DA17BA"/>
    <w:rsid w:val="00DA180C"/>
    <w:rsid w:val="00DA1FB5"/>
    <w:rsid w:val="00DA1FB6"/>
    <w:rsid w:val="00DA3532"/>
    <w:rsid w:val="00DA37EC"/>
    <w:rsid w:val="00DA3F1C"/>
    <w:rsid w:val="00DA4994"/>
    <w:rsid w:val="00DA5033"/>
    <w:rsid w:val="00DA5060"/>
    <w:rsid w:val="00DA587A"/>
    <w:rsid w:val="00DA68CB"/>
    <w:rsid w:val="00DA6F36"/>
    <w:rsid w:val="00DA70BC"/>
    <w:rsid w:val="00DB0E03"/>
    <w:rsid w:val="00DB132F"/>
    <w:rsid w:val="00DB13CA"/>
    <w:rsid w:val="00DB3B99"/>
    <w:rsid w:val="00DB3F0F"/>
    <w:rsid w:val="00DB6CD9"/>
    <w:rsid w:val="00DC0E60"/>
    <w:rsid w:val="00DC1401"/>
    <w:rsid w:val="00DC1644"/>
    <w:rsid w:val="00DC1684"/>
    <w:rsid w:val="00DC2479"/>
    <w:rsid w:val="00DC374F"/>
    <w:rsid w:val="00DC3D8F"/>
    <w:rsid w:val="00DC5186"/>
    <w:rsid w:val="00DC6507"/>
    <w:rsid w:val="00DC76B5"/>
    <w:rsid w:val="00DD0012"/>
    <w:rsid w:val="00DD02E8"/>
    <w:rsid w:val="00DD25CA"/>
    <w:rsid w:val="00DD29F3"/>
    <w:rsid w:val="00DD2A2B"/>
    <w:rsid w:val="00DD2FFA"/>
    <w:rsid w:val="00DD316E"/>
    <w:rsid w:val="00DD3B32"/>
    <w:rsid w:val="00DD42ED"/>
    <w:rsid w:val="00DD4687"/>
    <w:rsid w:val="00DD4778"/>
    <w:rsid w:val="00DD5AC3"/>
    <w:rsid w:val="00DD6B08"/>
    <w:rsid w:val="00DD6CA6"/>
    <w:rsid w:val="00DD6E65"/>
    <w:rsid w:val="00DD733E"/>
    <w:rsid w:val="00DE03A9"/>
    <w:rsid w:val="00DE05D5"/>
    <w:rsid w:val="00DE0E36"/>
    <w:rsid w:val="00DE0F52"/>
    <w:rsid w:val="00DE1C4E"/>
    <w:rsid w:val="00DE33D3"/>
    <w:rsid w:val="00DE44D3"/>
    <w:rsid w:val="00DE4C80"/>
    <w:rsid w:val="00DE4EFB"/>
    <w:rsid w:val="00DE5D1A"/>
    <w:rsid w:val="00DE6202"/>
    <w:rsid w:val="00DE6376"/>
    <w:rsid w:val="00DE65B6"/>
    <w:rsid w:val="00DE70D2"/>
    <w:rsid w:val="00DF018B"/>
    <w:rsid w:val="00DF1B97"/>
    <w:rsid w:val="00DF1BDB"/>
    <w:rsid w:val="00DF2362"/>
    <w:rsid w:val="00DF27BF"/>
    <w:rsid w:val="00DF2DF4"/>
    <w:rsid w:val="00DF6A1F"/>
    <w:rsid w:val="00DF7BE6"/>
    <w:rsid w:val="00E0001A"/>
    <w:rsid w:val="00E00273"/>
    <w:rsid w:val="00E0052F"/>
    <w:rsid w:val="00E01AA0"/>
    <w:rsid w:val="00E02784"/>
    <w:rsid w:val="00E02C1C"/>
    <w:rsid w:val="00E039F1"/>
    <w:rsid w:val="00E062E9"/>
    <w:rsid w:val="00E063F2"/>
    <w:rsid w:val="00E07720"/>
    <w:rsid w:val="00E07751"/>
    <w:rsid w:val="00E102E5"/>
    <w:rsid w:val="00E10781"/>
    <w:rsid w:val="00E10F86"/>
    <w:rsid w:val="00E1165B"/>
    <w:rsid w:val="00E117AD"/>
    <w:rsid w:val="00E1206A"/>
    <w:rsid w:val="00E1280E"/>
    <w:rsid w:val="00E12D1A"/>
    <w:rsid w:val="00E12D6B"/>
    <w:rsid w:val="00E136E5"/>
    <w:rsid w:val="00E13C16"/>
    <w:rsid w:val="00E14111"/>
    <w:rsid w:val="00E1531F"/>
    <w:rsid w:val="00E1637E"/>
    <w:rsid w:val="00E165BD"/>
    <w:rsid w:val="00E174C4"/>
    <w:rsid w:val="00E20314"/>
    <w:rsid w:val="00E207CC"/>
    <w:rsid w:val="00E2419E"/>
    <w:rsid w:val="00E24885"/>
    <w:rsid w:val="00E24E2C"/>
    <w:rsid w:val="00E256D7"/>
    <w:rsid w:val="00E25880"/>
    <w:rsid w:val="00E25A7C"/>
    <w:rsid w:val="00E25E34"/>
    <w:rsid w:val="00E301D1"/>
    <w:rsid w:val="00E321EA"/>
    <w:rsid w:val="00E32546"/>
    <w:rsid w:val="00E32801"/>
    <w:rsid w:val="00E33159"/>
    <w:rsid w:val="00E33D69"/>
    <w:rsid w:val="00E34688"/>
    <w:rsid w:val="00E3527A"/>
    <w:rsid w:val="00E354E1"/>
    <w:rsid w:val="00E35FFE"/>
    <w:rsid w:val="00E36222"/>
    <w:rsid w:val="00E36D11"/>
    <w:rsid w:val="00E370D6"/>
    <w:rsid w:val="00E3739B"/>
    <w:rsid w:val="00E377FE"/>
    <w:rsid w:val="00E37E65"/>
    <w:rsid w:val="00E41A40"/>
    <w:rsid w:val="00E41CC8"/>
    <w:rsid w:val="00E433F9"/>
    <w:rsid w:val="00E4517D"/>
    <w:rsid w:val="00E45F34"/>
    <w:rsid w:val="00E4718E"/>
    <w:rsid w:val="00E47B23"/>
    <w:rsid w:val="00E526E7"/>
    <w:rsid w:val="00E5282D"/>
    <w:rsid w:val="00E529F2"/>
    <w:rsid w:val="00E54291"/>
    <w:rsid w:val="00E56D48"/>
    <w:rsid w:val="00E5700F"/>
    <w:rsid w:val="00E6013B"/>
    <w:rsid w:val="00E60EDA"/>
    <w:rsid w:val="00E635AD"/>
    <w:rsid w:val="00E64085"/>
    <w:rsid w:val="00E640CC"/>
    <w:rsid w:val="00E67823"/>
    <w:rsid w:val="00E702B1"/>
    <w:rsid w:val="00E702E9"/>
    <w:rsid w:val="00E70695"/>
    <w:rsid w:val="00E70F38"/>
    <w:rsid w:val="00E71734"/>
    <w:rsid w:val="00E718CE"/>
    <w:rsid w:val="00E72E2A"/>
    <w:rsid w:val="00E739A1"/>
    <w:rsid w:val="00E74866"/>
    <w:rsid w:val="00E74C08"/>
    <w:rsid w:val="00E74CE2"/>
    <w:rsid w:val="00E75451"/>
    <w:rsid w:val="00E76DD8"/>
    <w:rsid w:val="00E77D58"/>
    <w:rsid w:val="00E80136"/>
    <w:rsid w:val="00E81D70"/>
    <w:rsid w:val="00E82C1F"/>
    <w:rsid w:val="00E83C18"/>
    <w:rsid w:val="00E84A37"/>
    <w:rsid w:val="00E85203"/>
    <w:rsid w:val="00E865AE"/>
    <w:rsid w:val="00E8707D"/>
    <w:rsid w:val="00E87237"/>
    <w:rsid w:val="00E90D9C"/>
    <w:rsid w:val="00E9130E"/>
    <w:rsid w:val="00E92262"/>
    <w:rsid w:val="00E94D18"/>
    <w:rsid w:val="00E9526D"/>
    <w:rsid w:val="00E95BF8"/>
    <w:rsid w:val="00E95CCF"/>
    <w:rsid w:val="00E9663E"/>
    <w:rsid w:val="00E966BA"/>
    <w:rsid w:val="00E9696C"/>
    <w:rsid w:val="00E96E6E"/>
    <w:rsid w:val="00EA05CA"/>
    <w:rsid w:val="00EA2B6A"/>
    <w:rsid w:val="00EB02DC"/>
    <w:rsid w:val="00EB0596"/>
    <w:rsid w:val="00EB16F4"/>
    <w:rsid w:val="00EB1C6E"/>
    <w:rsid w:val="00EB1C96"/>
    <w:rsid w:val="00EB1E8D"/>
    <w:rsid w:val="00EB294F"/>
    <w:rsid w:val="00EB2ABE"/>
    <w:rsid w:val="00EB32AA"/>
    <w:rsid w:val="00EB3651"/>
    <w:rsid w:val="00EB42C0"/>
    <w:rsid w:val="00EB677A"/>
    <w:rsid w:val="00EB7176"/>
    <w:rsid w:val="00EC0A04"/>
    <w:rsid w:val="00EC1D76"/>
    <w:rsid w:val="00EC3370"/>
    <w:rsid w:val="00EC357B"/>
    <w:rsid w:val="00EC5B7B"/>
    <w:rsid w:val="00EC7C95"/>
    <w:rsid w:val="00ED02A2"/>
    <w:rsid w:val="00ED15CE"/>
    <w:rsid w:val="00ED1FDC"/>
    <w:rsid w:val="00ED23BC"/>
    <w:rsid w:val="00ED2785"/>
    <w:rsid w:val="00ED4B6E"/>
    <w:rsid w:val="00ED6785"/>
    <w:rsid w:val="00ED7646"/>
    <w:rsid w:val="00EE01FD"/>
    <w:rsid w:val="00EE2708"/>
    <w:rsid w:val="00EE3C0A"/>
    <w:rsid w:val="00EE426B"/>
    <w:rsid w:val="00EE4CB4"/>
    <w:rsid w:val="00EE68D6"/>
    <w:rsid w:val="00EF0BA3"/>
    <w:rsid w:val="00EF2456"/>
    <w:rsid w:val="00EF2D88"/>
    <w:rsid w:val="00EF4559"/>
    <w:rsid w:val="00EF49F5"/>
    <w:rsid w:val="00EF5F73"/>
    <w:rsid w:val="00EF7190"/>
    <w:rsid w:val="00EF7B3A"/>
    <w:rsid w:val="00F0078F"/>
    <w:rsid w:val="00F03127"/>
    <w:rsid w:val="00F03505"/>
    <w:rsid w:val="00F0442C"/>
    <w:rsid w:val="00F04859"/>
    <w:rsid w:val="00F04B3D"/>
    <w:rsid w:val="00F05572"/>
    <w:rsid w:val="00F05F87"/>
    <w:rsid w:val="00F0625E"/>
    <w:rsid w:val="00F06330"/>
    <w:rsid w:val="00F06CEB"/>
    <w:rsid w:val="00F071CA"/>
    <w:rsid w:val="00F072F6"/>
    <w:rsid w:val="00F079C3"/>
    <w:rsid w:val="00F10609"/>
    <w:rsid w:val="00F1088B"/>
    <w:rsid w:val="00F11E63"/>
    <w:rsid w:val="00F130C6"/>
    <w:rsid w:val="00F14771"/>
    <w:rsid w:val="00F1535D"/>
    <w:rsid w:val="00F17D98"/>
    <w:rsid w:val="00F20952"/>
    <w:rsid w:val="00F23201"/>
    <w:rsid w:val="00F2326D"/>
    <w:rsid w:val="00F24A55"/>
    <w:rsid w:val="00F24D11"/>
    <w:rsid w:val="00F26953"/>
    <w:rsid w:val="00F26D04"/>
    <w:rsid w:val="00F27D22"/>
    <w:rsid w:val="00F30208"/>
    <w:rsid w:val="00F31A9C"/>
    <w:rsid w:val="00F31CB5"/>
    <w:rsid w:val="00F320C2"/>
    <w:rsid w:val="00F34A4B"/>
    <w:rsid w:val="00F35909"/>
    <w:rsid w:val="00F3590D"/>
    <w:rsid w:val="00F3722C"/>
    <w:rsid w:val="00F37604"/>
    <w:rsid w:val="00F37DA5"/>
    <w:rsid w:val="00F4015B"/>
    <w:rsid w:val="00F40749"/>
    <w:rsid w:val="00F42671"/>
    <w:rsid w:val="00F42B38"/>
    <w:rsid w:val="00F457B0"/>
    <w:rsid w:val="00F4596C"/>
    <w:rsid w:val="00F45D0A"/>
    <w:rsid w:val="00F46C4C"/>
    <w:rsid w:val="00F472DA"/>
    <w:rsid w:val="00F50182"/>
    <w:rsid w:val="00F50449"/>
    <w:rsid w:val="00F51151"/>
    <w:rsid w:val="00F51401"/>
    <w:rsid w:val="00F51A25"/>
    <w:rsid w:val="00F5277E"/>
    <w:rsid w:val="00F52799"/>
    <w:rsid w:val="00F53D7A"/>
    <w:rsid w:val="00F54A3D"/>
    <w:rsid w:val="00F55043"/>
    <w:rsid w:val="00F56469"/>
    <w:rsid w:val="00F56E91"/>
    <w:rsid w:val="00F5751A"/>
    <w:rsid w:val="00F57A47"/>
    <w:rsid w:val="00F62F9A"/>
    <w:rsid w:val="00F630C2"/>
    <w:rsid w:val="00F6380F"/>
    <w:rsid w:val="00F6532A"/>
    <w:rsid w:val="00F65A38"/>
    <w:rsid w:val="00F65B31"/>
    <w:rsid w:val="00F65E57"/>
    <w:rsid w:val="00F66037"/>
    <w:rsid w:val="00F66A6F"/>
    <w:rsid w:val="00F66F48"/>
    <w:rsid w:val="00F67F0F"/>
    <w:rsid w:val="00F7090A"/>
    <w:rsid w:val="00F713A8"/>
    <w:rsid w:val="00F71524"/>
    <w:rsid w:val="00F715BB"/>
    <w:rsid w:val="00F7175D"/>
    <w:rsid w:val="00F71A46"/>
    <w:rsid w:val="00F745B8"/>
    <w:rsid w:val="00F77C4D"/>
    <w:rsid w:val="00F801CE"/>
    <w:rsid w:val="00F8125A"/>
    <w:rsid w:val="00F8194E"/>
    <w:rsid w:val="00F819E2"/>
    <w:rsid w:val="00F81A24"/>
    <w:rsid w:val="00F81D79"/>
    <w:rsid w:val="00F821E6"/>
    <w:rsid w:val="00F82D5D"/>
    <w:rsid w:val="00F845FD"/>
    <w:rsid w:val="00F84E21"/>
    <w:rsid w:val="00F85A23"/>
    <w:rsid w:val="00F85FDC"/>
    <w:rsid w:val="00F867F8"/>
    <w:rsid w:val="00F86F20"/>
    <w:rsid w:val="00F911D8"/>
    <w:rsid w:val="00F91914"/>
    <w:rsid w:val="00F92306"/>
    <w:rsid w:val="00F942A1"/>
    <w:rsid w:val="00F96201"/>
    <w:rsid w:val="00F97009"/>
    <w:rsid w:val="00F97D83"/>
    <w:rsid w:val="00FA0FDA"/>
    <w:rsid w:val="00FA13DB"/>
    <w:rsid w:val="00FA2DFB"/>
    <w:rsid w:val="00FA4FE9"/>
    <w:rsid w:val="00FA655D"/>
    <w:rsid w:val="00FA6CF6"/>
    <w:rsid w:val="00FA7EF8"/>
    <w:rsid w:val="00FB08C0"/>
    <w:rsid w:val="00FB09F1"/>
    <w:rsid w:val="00FB0A19"/>
    <w:rsid w:val="00FB169C"/>
    <w:rsid w:val="00FB4DF5"/>
    <w:rsid w:val="00FB513D"/>
    <w:rsid w:val="00FB5EC6"/>
    <w:rsid w:val="00FB61D4"/>
    <w:rsid w:val="00FB6890"/>
    <w:rsid w:val="00FB6BFE"/>
    <w:rsid w:val="00FB757E"/>
    <w:rsid w:val="00FB7BA3"/>
    <w:rsid w:val="00FC0735"/>
    <w:rsid w:val="00FC10EC"/>
    <w:rsid w:val="00FC121B"/>
    <w:rsid w:val="00FC1501"/>
    <w:rsid w:val="00FC1E84"/>
    <w:rsid w:val="00FC28D9"/>
    <w:rsid w:val="00FC2F63"/>
    <w:rsid w:val="00FC453B"/>
    <w:rsid w:val="00FC46E7"/>
    <w:rsid w:val="00FC53B8"/>
    <w:rsid w:val="00FC6081"/>
    <w:rsid w:val="00FC7DBA"/>
    <w:rsid w:val="00FD05E4"/>
    <w:rsid w:val="00FD08B6"/>
    <w:rsid w:val="00FD0BC5"/>
    <w:rsid w:val="00FD192D"/>
    <w:rsid w:val="00FD1F26"/>
    <w:rsid w:val="00FD2291"/>
    <w:rsid w:val="00FD24AD"/>
    <w:rsid w:val="00FD2936"/>
    <w:rsid w:val="00FD4282"/>
    <w:rsid w:val="00FD42E4"/>
    <w:rsid w:val="00FD5EDE"/>
    <w:rsid w:val="00FD601E"/>
    <w:rsid w:val="00FD6102"/>
    <w:rsid w:val="00FD6E4F"/>
    <w:rsid w:val="00FD7D92"/>
    <w:rsid w:val="00FD7E68"/>
    <w:rsid w:val="00FE0AF3"/>
    <w:rsid w:val="00FE18F5"/>
    <w:rsid w:val="00FE3129"/>
    <w:rsid w:val="00FE388D"/>
    <w:rsid w:val="00FE4029"/>
    <w:rsid w:val="00FE48A5"/>
    <w:rsid w:val="00FE5A3C"/>
    <w:rsid w:val="00FE6837"/>
    <w:rsid w:val="00FE72E4"/>
    <w:rsid w:val="00FE7E7F"/>
    <w:rsid w:val="00FF0CA4"/>
    <w:rsid w:val="00FF1257"/>
    <w:rsid w:val="00FF145F"/>
    <w:rsid w:val="00FF24BE"/>
    <w:rsid w:val="00FF5243"/>
    <w:rsid w:val="00FF6442"/>
    <w:rsid w:val="02BD765D"/>
    <w:rsid w:val="02DE4EAF"/>
    <w:rsid w:val="03023B8E"/>
    <w:rsid w:val="050746C3"/>
    <w:rsid w:val="08086DC2"/>
    <w:rsid w:val="08785998"/>
    <w:rsid w:val="0919599E"/>
    <w:rsid w:val="0A5F4CBB"/>
    <w:rsid w:val="0B2754D6"/>
    <w:rsid w:val="0BDE3D68"/>
    <w:rsid w:val="0DE04861"/>
    <w:rsid w:val="0EB30359"/>
    <w:rsid w:val="1029134A"/>
    <w:rsid w:val="12EE086F"/>
    <w:rsid w:val="135B53C0"/>
    <w:rsid w:val="13C9064A"/>
    <w:rsid w:val="1B87421C"/>
    <w:rsid w:val="1C6D13A6"/>
    <w:rsid w:val="1D541207"/>
    <w:rsid w:val="1E120348"/>
    <w:rsid w:val="21BC423F"/>
    <w:rsid w:val="23490FFE"/>
    <w:rsid w:val="25412C7C"/>
    <w:rsid w:val="259C2D2E"/>
    <w:rsid w:val="25E26052"/>
    <w:rsid w:val="26260B83"/>
    <w:rsid w:val="26A83EE2"/>
    <w:rsid w:val="271D16E8"/>
    <w:rsid w:val="2BB65874"/>
    <w:rsid w:val="2DC15A74"/>
    <w:rsid w:val="2E2142C2"/>
    <w:rsid w:val="32CD2576"/>
    <w:rsid w:val="36C44F68"/>
    <w:rsid w:val="37B96EFF"/>
    <w:rsid w:val="385906B6"/>
    <w:rsid w:val="38AB6442"/>
    <w:rsid w:val="3A483FB0"/>
    <w:rsid w:val="3AAA27E0"/>
    <w:rsid w:val="3C0C6E1D"/>
    <w:rsid w:val="3CA303F9"/>
    <w:rsid w:val="3ED15553"/>
    <w:rsid w:val="3F76742D"/>
    <w:rsid w:val="416E7257"/>
    <w:rsid w:val="41967CF9"/>
    <w:rsid w:val="438B1BA4"/>
    <w:rsid w:val="451F1C5B"/>
    <w:rsid w:val="46526464"/>
    <w:rsid w:val="47957DC8"/>
    <w:rsid w:val="4837257A"/>
    <w:rsid w:val="4CF5493B"/>
    <w:rsid w:val="4DB1164B"/>
    <w:rsid w:val="503C498F"/>
    <w:rsid w:val="50597886"/>
    <w:rsid w:val="50A52552"/>
    <w:rsid w:val="52820D0E"/>
    <w:rsid w:val="54BA500C"/>
    <w:rsid w:val="55506CC0"/>
    <w:rsid w:val="56B74D33"/>
    <w:rsid w:val="57201AD9"/>
    <w:rsid w:val="593A6A5F"/>
    <w:rsid w:val="5A250CC1"/>
    <w:rsid w:val="5A3B1AE6"/>
    <w:rsid w:val="5B2A4D62"/>
    <w:rsid w:val="5D88440E"/>
    <w:rsid w:val="5EF11DF1"/>
    <w:rsid w:val="62373FA4"/>
    <w:rsid w:val="662949DC"/>
    <w:rsid w:val="67973C6C"/>
    <w:rsid w:val="679D40DC"/>
    <w:rsid w:val="69E821BC"/>
    <w:rsid w:val="6A0A574F"/>
    <w:rsid w:val="6C7038B1"/>
    <w:rsid w:val="71256954"/>
    <w:rsid w:val="73EB2E6D"/>
    <w:rsid w:val="754A2A23"/>
    <w:rsid w:val="76AF67F9"/>
    <w:rsid w:val="776E4908"/>
    <w:rsid w:val="78694849"/>
    <w:rsid w:val="7914248A"/>
    <w:rsid w:val="7994667F"/>
    <w:rsid w:val="79995360"/>
    <w:rsid w:val="7B6F386A"/>
    <w:rsid w:val="7C3D1B43"/>
    <w:rsid w:val="7D856431"/>
    <w:rsid w:val="7F1B79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77"/>
    <w:qFormat/>
    <w:uiPriority w:val="0"/>
    <w:pPr>
      <w:spacing w:before="340" w:after="330" w:line="360" w:lineRule="auto"/>
      <w:jc w:val="center"/>
      <w:outlineLvl w:val="0"/>
    </w:pPr>
    <w:rPr>
      <w:rFonts w:eastAsia="黑体"/>
      <w:bCs/>
      <w:kern w:val="44"/>
      <w:szCs w:val="44"/>
    </w:rPr>
  </w:style>
  <w:style w:type="paragraph" w:styleId="7">
    <w:name w:val="heading 2"/>
    <w:basedOn w:val="5"/>
    <w:next w:val="6"/>
    <w:link w:val="70"/>
    <w:qFormat/>
    <w:uiPriority w:val="0"/>
    <w:pPr>
      <w:adjustRightInd w:val="0"/>
      <w:jc w:val="center"/>
      <w:textAlignment w:val="baseline"/>
      <w:outlineLvl w:val="1"/>
    </w:pPr>
    <w:rPr>
      <w:bCs/>
      <w:kern w:val="0"/>
      <w:sz w:val="24"/>
      <w:szCs w:val="20"/>
    </w:rPr>
  </w:style>
  <w:style w:type="paragraph" w:styleId="5">
    <w:name w:val="heading 3"/>
    <w:basedOn w:val="6"/>
    <w:next w:val="1"/>
    <w:link w:val="71"/>
    <w:qFormat/>
    <w:uiPriority w:val="0"/>
    <w:pPr>
      <w:spacing w:before="260" w:after="260" w:line="240" w:lineRule="auto"/>
      <w:outlineLvl w:val="2"/>
    </w:pPr>
    <w:rPr>
      <w:rFonts w:ascii="宋体" w:hAnsi="宋体" w:eastAsia="宋体"/>
      <w:bCs w:val="0"/>
      <w:szCs w:val="32"/>
    </w:rPr>
  </w:style>
  <w:style w:type="paragraph" w:styleId="6">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2"/>
    <w:qFormat/>
    <w:uiPriority w:val="0"/>
    <w:pPr>
      <w:keepNext/>
      <w:keepLines/>
      <w:spacing w:before="280" w:after="290" w:line="376" w:lineRule="auto"/>
      <w:outlineLvl w:val="4"/>
    </w:pPr>
    <w:rPr>
      <w:rFonts w:ascii="Arial" w:hAnsi="Arial" w:eastAsia="Times New Roman"/>
      <w:b/>
      <w:bCs/>
      <w:sz w:val="28"/>
      <w:szCs w:val="28"/>
      <w:lang w:eastAsia="en-US"/>
    </w:rPr>
  </w:style>
  <w:style w:type="paragraph" w:styleId="9">
    <w:name w:val="heading 6"/>
    <w:basedOn w:val="1"/>
    <w:next w:val="10"/>
    <w:link w:val="73"/>
    <w:qFormat/>
    <w:uiPriority w:val="0"/>
    <w:pPr>
      <w:keepNext/>
      <w:keepLines/>
      <w:spacing w:before="240" w:after="64" w:line="319" w:lineRule="auto"/>
      <w:outlineLvl w:val="5"/>
    </w:pPr>
    <w:rPr>
      <w:rFonts w:ascii="Arial" w:hAnsi="Arial" w:eastAsia="黑体"/>
      <w:b/>
      <w:sz w:val="24"/>
      <w:szCs w:val="20"/>
      <w:lang w:eastAsia="en-US"/>
    </w:rPr>
  </w:style>
  <w:style w:type="paragraph" w:styleId="11">
    <w:name w:val="heading 7"/>
    <w:basedOn w:val="1"/>
    <w:next w:val="10"/>
    <w:link w:val="74"/>
    <w:qFormat/>
    <w:uiPriority w:val="0"/>
    <w:pPr>
      <w:keepNext/>
      <w:keepLines/>
      <w:spacing w:before="240" w:after="64" w:line="319" w:lineRule="auto"/>
      <w:outlineLvl w:val="6"/>
    </w:pPr>
    <w:rPr>
      <w:rFonts w:ascii="Arial" w:hAnsi="Arial" w:eastAsia="Times New Roman"/>
      <w:b/>
      <w:sz w:val="24"/>
      <w:szCs w:val="20"/>
      <w:lang w:eastAsia="en-US"/>
    </w:rPr>
  </w:style>
  <w:style w:type="paragraph" w:styleId="12">
    <w:name w:val="heading 8"/>
    <w:basedOn w:val="1"/>
    <w:next w:val="10"/>
    <w:link w:val="75"/>
    <w:qFormat/>
    <w:uiPriority w:val="0"/>
    <w:pPr>
      <w:keepNext/>
      <w:keepLines/>
      <w:spacing w:before="240" w:after="64" w:line="319" w:lineRule="auto"/>
      <w:outlineLvl w:val="7"/>
    </w:pPr>
    <w:rPr>
      <w:rFonts w:ascii="Arial" w:hAnsi="Arial" w:eastAsia="黑体"/>
      <w:b/>
      <w:sz w:val="24"/>
      <w:szCs w:val="20"/>
      <w:lang w:eastAsia="en-US"/>
    </w:rPr>
  </w:style>
  <w:style w:type="paragraph" w:styleId="13">
    <w:name w:val="heading 9"/>
    <w:basedOn w:val="1"/>
    <w:next w:val="10"/>
    <w:link w:val="76"/>
    <w:qFormat/>
    <w:uiPriority w:val="0"/>
    <w:pPr>
      <w:keepNext/>
      <w:keepLines/>
      <w:spacing w:before="240" w:after="64" w:line="319" w:lineRule="auto"/>
      <w:outlineLvl w:val="8"/>
    </w:pPr>
    <w:rPr>
      <w:rFonts w:ascii="Arial" w:hAnsi="Arial" w:eastAsia="黑体"/>
      <w:b/>
      <w:szCs w:val="20"/>
      <w:lang w:eastAsia="en-US"/>
    </w:rPr>
  </w:style>
  <w:style w:type="character" w:default="1" w:styleId="34">
    <w:name w:val="Default Paragraph Font"/>
    <w:semiHidden/>
    <w:unhideWhenUsed/>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20"/>
    <w:qFormat/>
    <w:uiPriority w:val="0"/>
    <w:pPr>
      <w:spacing w:after="120" w:line="240" w:lineRule="auto"/>
      <w:ind w:left="420" w:leftChars="200"/>
    </w:pPr>
    <w:rPr>
      <w:rFonts w:ascii="Times New Roman" w:hAnsi="Times New Roman"/>
    </w:rPr>
  </w:style>
  <w:style w:type="paragraph" w:styleId="3">
    <w:name w:val="Body Text Indent"/>
    <w:basedOn w:val="1"/>
    <w:link w:val="90"/>
    <w:qFormat/>
    <w:uiPriority w:val="0"/>
    <w:pPr>
      <w:spacing w:line="360" w:lineRule="auto"/>
      <w:ind w:firstLine="420" w:firstLineChars="200"/>
    </w:pPr>
    <w:rPr>
      <w:rFonts w:ascii="宋体" w:hAnsi="宋体"/>
    </w:rPr>
  </w:style>
  <w:style w:type="paragraph" w:styleId="10">
    <w:name w:val="Normal Indent"/>
    <w:basedOn w:val="1"/>
    <w:link w:val="78"/>
    <w:qFormat/>
    <w:uiPriority w:val="0"/>
    <w:pPr>
      <w:ind w:firstLine="420"/>
    </w:pPr>
    <w:rPr>
      <w:szCs w:val="20"/>
    </w:rPr>
  </w:style>
  <w:style w:type="paragraph" w:styleId="14">
    <w:name w:val="annotation subject"/>
    <w:basedOn w:val="15"/>
    <w:next w:val="15"/>
    <w:link w:val="48"/>
    <w:qFormat/>
    <w:uiPriority w:val="0"/>
    <w:pPr>
      <w:autoSpaceDE/>
      <w:autoSpaceDN/>
      <w:adjustRightInd/>
      <w:textAlignment w:val="auto"/>
    </w:pPr>
    <w:rPr>
      <w:bCs/>
      <w:kern w:val="2"/>
      <w:sz w:val="21"/>
      <w:szCs w:val="24"/>
    </w:rPr>
  </w:style>
  <w:style w:type="paragraph" w:styleId="15">
    <w:name w:val="annotation text"/>
    <w:basedOn w:val="1"/>
    <w:link w:val="47"/>
    <w:semiHidden/>
    <w:qFormat/>
    <w:uiPriority w:val="0"/>
    <w:pPr>
      <w:autoSpaceDE w:val="0"/>
      <w:autoSpaceDN w:val="0"/>
      <w:adjustRightInd w:val="0"/>
      <w:jc w:val="left"/>
      <w:textAlignment w:val="baseline"/>
    </w:pPr>
    <w:rPr>
      <w:rFonts w:ascii="宋体" w:hAnsi="Arial" w:cs="Verdana"/>
      <w:b/>
      <w:kern w:val="0"/>
      <w:sz w:val="34"/>
      <w:szCs w:val="20"/>
    </w:rPr>
  </w:style>
  <w:style w:type="paragraph" w:styleId="16">
    <w:name w:val="List Bullet"/>
    <w:basedOn w:val="1"/>
    <w:qFormat/>
    <w:uiPriority w:val="0"/>
    <w:pPr>
      <w:tabs>
        <w:tab w:val="left" w:pos="360"/>
      </w:tabs>
      <w:ind w:left="360" w:hanging="360"/>
    </w:pPr>
    <w:rPr>
      <w:szCs w:val="20"/>
    </w:rPr>
  </w:style>
  <w:style w:type="paragraph" w:styleId="17">
    <w:name w:val="Document Map"/>
    <w:basedOn w:val="1"/>
    <w:link w:val="79"/>
    <w:semiHidden/>
    <w:qFormat/>
    <w:uiPriority w:val="0"/>
    <w:pPr>
      <w:shd w:val="clear" w:color="auto" w:fill="000080"/>
    </w:pPr>
  </w:style>
  <w:style w:type="paragraph" w:styleId="18">
    <w:name w:val="Body Text 3"/>
    <w:basedOn w:val="1"/>
    <w:link w:val="94"/>
    <w:qFormat/>
    <w:uiPriority w:val="0"/>
    <w:pPr>
      <w:spacing w:after="120"/>
    </w:pPr>
    <w:rPr>
      <w:rFonts w:ascii="宋体" w:hAnsi="宋体"/>
      <w:sz w:val="16"/>
      <w:szCs w:val="16"/>
    </w:rPr>
  </w:style>
  <w:style w:type="paragraph" w:styleId="19">
    <w:name w:val="Body Text"/>
    <w:basedOn w:val="1"/>
    <w:link w:val="88"/>
    <w:qFormat/>
    <w:uiPriority w:val="0"/>
    <w:pPr>
      <w:spacing w:line="360" w:lineRule="auto"/>
    </w:pPr>
    <w:rPr>
      <w:rFonts w:ascii="宋体" w:hAnsi="宋体"/>
      <w:b/>
      <w:bCs/>
      <w:sz w:val="24"/>
    </w:rPr>
  </w:style>
  <w:style w:type="paragraph" w:styleId="20">
    <w:name w:val="toc 3"/>
    <w:basedOn w:val="1"/>
    <w:next w:val="1"/>
    <w:semiHidden/>
    <w:qFormat/>
    <w:uiPriority w:val="0"/>
    <w:pPr>
      <w:ind w:left="420"/>
      <w:jc w:val="left"/>
    </w:pPr>
    <w:rPr>
      <w:i/>
      <w:iCs/>
    </w:rPr>
  </w:style>
  <w:style w:type="paragraph" w:styleId="21">
    <w:name w:val="Plain Text"/>
    <w:basedOn w:val="1"/>
    <w:link w:val="100"/>
    <w:qFormat/>
    <w:uiPriority w:val="0"/>
    <w:rPr>
      <w:rFonts w:ascii="宋体" w:hAnsi="Courier New"/>
      <w:szCs w:val="20"/>
    </w:rPr>
  </w:style>
  <w:style w:type="paragraph" w:styleId="22">
    <w:name w:val="Date"/>
    <w:basedOn w:val="1"/>
    <w:next w:val="1"/>
    <w:link w:val="80"/>
    <w:qFormat/>
    <w:uiPriority w:val="0"/>
    <w:rPr>
      <w:rFonts w:ascii="宋体" w:hAnsi="Courier New"/>
      <w:sz w:val="32"/>
      <w:szCs w:val="20"/>
    </w:rPr>
  </w:style>
  <w:style w:type="paragraph" w:styleId="23">
    <w:name w:val="Body Text Indent 2"/>
    <w:basedOn w:val="1"/>
    <w:link w:val="96"/>
    <w:qFormat/>
    <w:uiPriority w:val="0"/>
    <w:pPr>
      <w:spacing w:beforeLines="50" w:afterLines="50" w:line="120" w:lineRule="auto"/>
      <w:ind w:firstLine="840" w:firstLineChars="400"/>
      <w:jc w:val="left"/>
    </w:pPr>
    <w:rPr>
      <w:rFonts w:ascii="宋体" w:hAnsi="宋体"/>
    </w:rPr>
  </w:style>
  <w:style w:type="paragraph" w:styleId="24">
    <w:name w:val="Balloon Text"/>
    <w:basedOn w:val="1"/>
    <w:link w:val="43"/>
    <w:qFormat/>
    <w:uiPriority w:val="0"/>
    <w:rPr>
      <w:rFonts w:ascii="Arial" w:hAnsi="Arial" w:eastAsia="Times New Roman"/>
      <w:b/>
      <w:sz w:val="18"/>
      <w:szCs w:val="18"/>
      <w:lang w:eastAsia="en-US"/>
    </w:rPr>
  </w:style>
  <w:style w:type="paragraph" w:styleId="25">
    <w:name w:val="footer"/>
    <w:basedOn w:val="1"/>
    <w:link w:val="81"/>
    <w:qFormat/>
    <w:uiPriority w:val="0"/>
    <w:pPr>
      <w:tabs>
        <w:tab w:val="center" w:pos="4153"/>
        <w:tab w:val="right" w:pos="8306"/>
      </w:tabs>
      <w:snapToGrid w:val="0"/>
      <w:jc w:val="left"/>
    </w:pPr>
    <w:rPr>
      <w:sz w:val="18"/>
      <w:szCs w:val="18"/>
    </w:rPr>
  </w:style>
  <w:style w:type="paragraph" w:styleId="26">
    <w:name w:val="header"/>
    <w:basedOn w:val="1"/>
    <w:link w:val="51"/>
    <w:qFormat/>
    <w:uiPriority w:val="0"/>
    <w:pPr>
      <w:pBdr>
        <w:bottom w:val="single" w:color="auto" w:sz="6" w:space="1"/>
      </w:pBdr>
      <w:tabs>
        <w:tab w:val="center" w:pos="4153"/>
        <w:tab w:val="right" w:pos="8306"/>
      </w:tabs>
      <w:snapToGrid w:val="0"/>
      <w:jc w:val="center"/>
    </w:pPr>
    <w:rPr>
      <w:rFonts w:ascii="Arial" w:hAnsi="Arial" w:eastAsia="Times New Roman"/>
      <w:b/>
      <w:sz w:val="18"/>
      <w:szCs w:val="18"/>
      <w:lang w:eastAsia="en-US"/>
    </w:rPr>
  </w:style>
  <w:style w:type="paragraph" w:styleId="27">
    <w:name w:val="toc 1"/>
    <w:basedOn w:val="1"/>
    <w:next w:val="1"/>
    <w:semiHidden/>
    <w:qFormat/>
    <w:uiPriority w:val="0"/>
    <w:pPr>
      <w:spacing w:before="120" w:after="120"/>
      <w:jc w:val="left"/>
    </w:pPr>
    <w:rPr>
      <w:b/>
      <w:bCs/>
      <w:caps/>
    </w:rPr>
  </w:style>
  <w:style w:type="paragraph" w:styleId="28">
    <w:name w:val="Body Text Indent 3"/>
    <w:basedOn w:val="1"/>
    <w:link w:val="98"/>
    <w:qFormat/>
    <w:uiPriority w:val="0"/>
    <w:pPr>
      <w:spacing w:line="360" w:lineRule="auto"/>
      <w:ind w:firstLine="482" w:firstLineChars="200"/>
    </w:pPr>
    <w:rPr>
      <w:rFonts w:ascii="宋体" w:hAnsi="宋体"/>
      <w:b/>
      <w:bCs/>
      <w:sz w:val="24"/>
    </w:rPr>
  </w:style>
  <w:style w:type="paragraph" w:styleId="29">
    <w:name w:val="toc 2"/>
    <w:basedOn w:val="1"/>
    <w:next w:val="1"/>
    <w:semiHidden/>
    <w:qFormat/>
    <w:uiPriority w:val="0"/>
    <w:pPr>
      <w:tabs>
        <w:tab w:val="right" w:leader="dot" w:pos="8296"/>
      </w:tabs>
      <w:ind w:left="210"/>
      <w:jc w:val="left"/>
    </w:pPr>
    <w:rPr>
      <w:smallCaps/>
    </w:rPr>
  </w:style>
  <w:style w:type="paragraph" w:styleId="30">
    <w:name w:val="Body Text 2"/>
    <w:basedOn w:val="1"/>
    <w:link w:val="92"/>
    <w:qFormat/>
    <w:uiPriority w:val="0"/>
    <w:pPr>
      <w:spacing w:line="360" w:lineRule="auto"/>
    </w:pPr>
    <w:rPr>
      <w:rFonts w:ascii="宋体" w:hAnsi="宋体"/>
      <w:sz w:val="24"/>
    </w:rPr>
  </w:style>
  <w:style w:type="paragraph" w:styleId="31">
    <w:name w:val="HTML Preformatted"/>
    <w:basedOn w:val="1"/>
    <w:link w:val="8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2">
    <w:name w:val="Normal (Web)"/>
    <w:basedOn w:val="1"/>
    <w:qFormat/>
    <w:uiPriority w:val="99"/>
    <w:rPr>
      <w:sz w:val="24"/>
    </w:rPr>
  </w:style>
  <w:style w:type="paragraph" w:styleId="33">
    <w:name w:val="Title"/>
    <w:basedOn w:val="1"/>
    <w:link w:val="86"/>
    <w:qFormat/>
    <w:uiPriority w:val="0"/>
    <w:pPr>
      <w:spacing w:before="240" w:after="60"/>
      <w:jc w:val="center"/>
      <w:outlineLvl w:val="0"/>
    </w:pPr>
    <w:rPr>
      <w:rFonts w:ascii="Arial" w:hAnsi="Arial" w:eastAsia="隶书"/>
      <w:b/>
      <w:bCs/>
      <w:sz w:val="32"/>
      <w:szCs w:val="32"/>
    </w:rPr>
  </w:style>
  <w:style w:type="character" w:styleId="35">
    <w:name w:val="Strong"/>
    <w:qFormat/>
    <w:uiPriority w:val="0"/>
    <w:rPr>
      <w:b/>
    </w:rPr>
  </w:style>
  <w:style w:type="character" w:styleId="36">
    <w:name w:val="page number"/>
    <w:basedOn w:val="34"/>
    <w:qFormat/>
    <w:uiPriority w:val="0"/>
    <w:rPr>
      <w:rFonts w:ascii="Arial" w:hAnsi="Arial" w:eastAsia="Times New Roman" w:cs="Verdana"/>
      <w:b/>
      <w:kern w:val="0"/>
      <w:sz w:val="24"/>
      <w:szCs w:val="20"/>
      <w:lang w:eastAsia="en-US"/>
    </w:rPr>
  </w:style>
  <w:style w:type="character" w:styleId="37">
    <w:name w:val="FollowedHyperlink"/>
    <w:basedOn w:val="34"/>
    <w:semiHidden/>
    <w:unhideWhenUsed/>
    <w:qFormat/>
    <w:uiPriority w:val="0"/>
    <w:rPr>
      <w:rFonts w:hint="eastAsia" w:ascii="宋体" w:hAnsi="宋体" w:eastAsia="宋体" w:cs="宋体"/>
      <w:color w:val="0031C1"/>
      <w:sz w:val="18"/>
      <w:szCs w:val="18"/>
      <w:u w:val="none"/>
    </w:rPr>
  </w:style>
  <w:style w:type="character" w:styleId="38">
    <w:name w:val="Emphasis"/>
    <w:qFormat/>
    <w:uiPriority w:val="0"/>
    <w:rPr>
      <w:rFonts w:ascii="Arial" w:hAnsi="Arial" w:eastAsia="Times New Roman" w:cs="Verdana"/>
      <w:b/>
      <w:kern w:val="0"/>
      <w:sz w:val="24"/>
      <w:szCs w:val="20"/>
      <w:lang w:eastAsia="en-US"/>
    </w:rPr>
  </w:style>
  <w:style w:type="character" w:styleId="39">
    <w:name w:val="Hyperlink"/>
    <w:qFormat/>
    <w:uiPriority w:val="0"/>
    <w:rPr>
      <w:rFonts w:hint="eastAsia" w:ascii="宋体" w:hAnsi="宋体" w:eastAsia="宋体" w:cs="宋体"/>
      <w:b/>
      <w:color w:val="0031C1"/>
      <w:kern w:val="0"/>
      <w:sz w:val="18"/>
      <w:szCs w:val="18"/>
      <w:u w:val="none"/>
      <w:lang w:eastAsia="en-US"/>
    </w:rPr>
  </w:style>
  <w:style w:type="character" w:styleId="40">
    <w:name w:val="annotation reference"/>
    <w:unhideWhenUsed/>
    <w:qFormat/>
    <w:uiPriority w:val="0"/>
    <w:rPr>
      <w:sz w:val="21"/>
      <w:szCs w:val="21"/>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3">
    <w:name w:val="批注框文本 Char"/>
    <w:link w:val="24"/>
    <w:qFormat/>
    <w:uiPriority w:val="0"/>
    <w:rPr>
      <w:rFonts w:ascii="Arial" w:hAnsi="Arial" w:eastAsia="Times New Roman" w:cs="Verdana"/>
      <w:b/>
      <w:kern w:val="2"/>
      <w:sz w:val="18"/>
      <w:szCs w:val="18"/>
      <w:lang w:eastAsia="en-US"/>
    </w:rPr>
  </w:style>
  <w:style w:type="character" w:customStyle="1" w:styleId="44">
    <w:name w:val="active6"/>
    <w:qFormat/>
    <w:uiPriority w:val="0"/>
    <w:rPr>
      <w:rFonts w:ascii="Arial" w:hAnsi="Arial" w:eastAsia="Times New Roman" w:cs="Verdana"/>
      <w:b/>
      <w:color w:val="FFFFFF"/>
      <w:kern w:val="0"/>
      <w:sz w:val="24"/>
      <w:szCs w:val="20"/>
      <w:lang w:eastAsia="en-US"/>
    </w:rPr>
  </w:style>
  <w:style w:type="character" w:customStyle="1" w:styleId="45">
    <w:name w:val="fielderror"/>
    <w:qFormat/>
    <w:uiPriority w:val="0"/>
    <w:rPr>
      <w:rFonts w:ascii="Arial" w:hAnsi="Arial" w:eastAsia="Times New Roman" w:cs="Verdana"/>
      <w:b/>
      <w:color w:val="800000"/>
      <w:kern w:val="0"/>
      <w:sz w:val="24"/>
      <w:szCs w:val="20"/>
      <w:lang w:eastAsia="en-US"/>
    </w:rPr>
  </w:style>
  <w:style w:type="character" w:customStyle="1" w:styleId="46">
    <w:name w:val="标题 4 Char"/>
    <w:link w:val="6"/>
    <w:qFormat/>
    <w:uiPriority w:val="0"/>
    <w:rPr>
      <w:rFonts w:ascii="Arial" w:hAnsi="Arial" w:eastAsia="黑体"/>
      <w:b/>
      <w:bCs/>
      <w:kern w:val="2"/>
      <w:sz w:val="28"/>
      <w:szCs w:val="28"/>
    </w:rPr>
  </w:style>
  <w:style w:type="character" w:customStyle="1" w:styleId="47">
    <w:name w:val="批注文字 Char"/>
    <w:link w:val="15"/>
    <w:semiHidden/>
    <w:qFormat/>
    <w:uiPriority w:val="0"/>
    <w:rPr>
      <w:rFonts w:ascii="宋体" w:hAnsi="Arial" w:eastAsia="宋体" w:cs="Verdana"/>
      <w:b/>
      <w:kern w:val="0"/>
      <w:sz w:val="34"/>
      <w:szCs w:val="20"/>
      <w:lang w:val="en-US" w:eastAsia="zh-CN" w:bidi="ar-SA"/>
    </w:rPr>
  </w:style>
  <w:style w:type="character" w:customStyle="1" w:styleId="48">
    <w:name w:val="批注主题 Char"/>
    <w:link w:val="14"/>
    <w:qFormat/>
    <w:uiPriority w:val="0"/>
    <w:rPr>
      <w:rFonts w:ascii="宋体" w:hAnsi="Arial" w:eastAsia="宋体" w:cs="Verdana"/>
      <w:b/>
      <w:bCs/>
      <w:kern w:val="2"/>
      <w:sz w:val="21"/>
      <w:szCs w:val="24"/>
      <w:lang w:val="en-US" w:eastAsia="zh-CN" w:bidi="ar-SA"/>
    </w:rPr>
  </w:style>
  <w:style w:type="character" w:customStyle="1" w:styleId="49">
    <w:name w:val="search_content1"/>
    <w:qFormat/>
    <w:uiPriority w:val="0"/>
    <w:rPr>
      <w:rFonts w:ascii="Arial" w:hAnsi="Arial" w:eastAsia="Times New Roman" w:cs="Verdana"/>
      <w:b/>
      <w:kern w:val="0"/>
      <w:sz w:val="18"/>
      <w:szCs w:val="20"/>
      <w:lang w:eastAsia="en-US"/>
    </w:rPr>
  </w:style>
  <w:style w:type="character" w:customStyle="1" w:styleId="50">
    <w:name w:val="hilite6"/>
    <w:qFormat/>
    <w:uiPriority w:val="0"/>
    <w:rPr>
      <w:rFonts w:ascii="Arial" w:hAnsi="Arial" w:eastAsia="Times New Roman" w:cs="Verdana"/>
      <w:b/>
      <w:color w:val="000000"/>
      <w:kern w:val="0"/>
      <w:sz w:val="24"/>
      <w:szCs w:val="20"/>
      <w:lang w:eastAsia="en-US"/>
    </w:rPr>
  </w:style>
  <w:style w:type="character" w:customStyle="1" w:styleId="51">
    <w:name w:val="页眉 Char"/>
    <w:link w:val="26"/>
    <w:qFormat/>
    <w:uiPriority w:val="0"/>
    <w:rPr>
      <w:rFonts w:ascii="Arial" w:hAnsi="Arial" w:eastAsia="Times New Roman" w:cs="Verdana"/>
      <w:b/>
      <w:kern w:val="2"/>
      <w:sz w:val="18"/>
      <w:szCs w:val="18"/>
      <w:lang w:eastAsia="en-US"/>
    </w:rPr>
  </w:style>
  <w:style w:type="character" w:customStyle="1" w:styleId="52">
    <w:name w:val="已访问的超链接1"/>
    <w:qFormat/>
    <w:uiPriority w:val="0"/>
    <w:rPr>
      <w:rFonts w:hint="eastAsia" w:ascii="宋体" w:hAnsi="宋体" w:eastAsia="宋体" w:cs="宋体"/>
      <w:b/>
      <w:color w:val="0031C1"/>
      <w:kern w:val="0"/>
      <w:sz w:val="18"/>
      <w:szCs w:val="18"/>
      <w:u w:val="none"/>
      <w:lang w:eastAsia="en-US"/>
    </w:rPr>
  </w:style>
  <w:style w:type="character" w:customStyle="1" w:styleId="53">
    <w:name w:val="hilite"/>
    <w:qFormat/>
    <w:uiPriority w:val="0"/>
    <w:rPr>
      <w:rFonts w:ascii="Arial" w:hAnsi="Arial" w:eastAsia="Times New Roman" w:cs="Verdana"/>
      <w:b/>
      <w:color w:val="000000"/>
      <w:kern w:val="0"/>
      <w:sz w:val="24"/>
      <w:szCs w:val="20"/>
      <w:lang w:eastAsia="en-US"/>
    </w:rPr>
  </w:style>
  <w:style w:type="character" w:customStyle="1" w:styleId="54">
    <w:name w:val="标题 3 Char"/>
    <w:qFormat/>
    <w:uiPriority w:val="0"/>
    <w:rPr>
      <w:rFonts w:ascii="黑体" w:hAnsi="Arial" w:eastAsia="黑体" w:cs="Verdana"/>
      <w:b/>
      <w:bCs/>
      <w:kern w:val="0"/>
      <w:sz w:val="30"/>
      <w:szCs w:val="20"/>
      <w:lang w:eastAsia="en-US"/>
    </w:rPr>
  </w:style>
  <w:style w:type="character" w:customStyle="1" w:styleId="55">
    <w:name w:val="active"/>
    <w:qFormat/>
    <w:uiPriority w:val="0"/>
    <w:rPr>
      <w:rFonts w:ascii="Arial" w:hAnsi="Arial" w:eastAsia="Times New Roman" w:cs="Verdana"/>
      <w:b/>
      <w:color w:val="FFFFFF"/>
      <w:kern w:val="0"/>
      <w:sz w:val="24"/>
      <w:szCs w:val="20"/>
      <w:lang w:eastAsia="en-US"/>
    </w:rPr>
  </w:style>
  <w:style w:type="paragraph" w:customStyle="1" w:styleId="56">
    <w:name w:val="_Style 33"/>
    <w:basedOn w:val="1"/>
    <w:semiHidden/>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8">
    <w:name w:val="Char5 Char Char Char Char Char Char"/>
    <w:basedOn w:val="1"/>
    <w:qFormat/>
    <w:uiPriority w:val="0"/>
    <w:pPr>
      <w:widowControl/>
      <w:spacing w:after="160" w:line="320" w:lineRule="exact"/>
      <w:ind w:firstLine="480"/>
      <w:jc w:val="center"/>
    </w:pPr>
    <w:rPr>
      <w:rFonts w:ascii="宋体" w:hAnsi="宋体"/>
      <w:kern w:val="0"/>
      <w:sz w:val="24"/>
      <w:lang w:eastAsia="en-US"/>
    </w:rPr>
  </w:style>
  <w:style w:type="paragraph" w:customStyle="1" w:styleId="59">
    <w:name w:val="Char1"/>
    <w:basedOn w:val="1"/>
    <w:qFormat/>
    <w:uiPriority w:val="0"/>
    <w:pPr>
      <w:widowControl/>
      <w:numPr>
        <w:ilvl w:val="0"/>
        <w:numId w:val="1"/>
      </w:numPr>
      <w:spacing w:after="160" w:line="240" w:lineRule="exact"/>
      <w:jc w:val="left"/>
    </w:pPr>
    <w:rPr>
      <w:rFonts w:ascii="Verdana" w:hAnsi="Verdana"/>
      <w:kern w:val="0"/>
      <w:szCs w:val="20"/>
      <w:lang w:eastAsia="en-US"/>
    </w:rPr>
  </w:style>
  <w:style w:type="paragraph" w:customStyle="1" w:styleId="60">
    <w:name w:val="Char5 Char Char Char Char Char Char1"/>
    <w:basedOn w:val="1"/>
    <w:qFormat/>
    <w:uiPriority w:val="0"/>
    <w:pPr>
      <w:widowControl/>
      <w:spacing w:after="160" w:line="320" w:lineRule="exact"/>
      <w:ind w:firstLine="480"/>
      <w:jc w:val="center"/>
    </w:pPr>
    <w:rPr>
      <w:rFonts w:ascii="宋体" w:hAnsi="宋体"/>
      <w:kern w:val="0"/>
      <w:sz w:val="24"/>
      <w:lang w:eastAsia="en-US"/>
    </w:rPr>
  </w:style>
  <w:style w:type="paragraph" w:customStyle="1" w:styleId="61">
    <w:name w:val="表格文字"/>
    <w:basedOn w:val="1"/>
    <w:qFormat/>
    <w:uiPriority w:val="0"/>
    <w:pPr>
      <w:spacing w:before="25" w:after="25"/>
      <w:jc w:val="left"/>
    </w:pPr>
    <w:rPr>
      <w:bCs/>
      <w:spacing w:val="10"/>
      <w:kern w:val="0"/>
      <w:sz w:val="24"/>
      <w:szCs w:val="20"/>
    </w:rPr>
  </w:style>
  <w:style w:type="paragraph" w:customStyle="1" w:styleId="62">
    <w:name w:val="Char Char Char Char Char Char Char"/>
    <w:basedOn w:val="1"/>
    <w:qFormat/>
    <w:uiPriority w:val="0"/>
    <w:pPr>
      <w:widowControl/>
      <w:spacing w:after="160" w:line="240" w:lineRule="exact"/>
      <w:jc w:val="left"/>
    </w:pPr>
  </w:style>
  <w:style w:type="paragraph" w:customStyle="1" w:styleId="63">
    <w:name w:val="Char Char Char2 Char"/>
    <w:basedOn w:val="1"/>
    <w:qFormat/>
    <w:uiPriority w:val="0"/>
    <w:pPr>
      <w:widowControl/>
      <w:spacing w:after="160" w:line="240" w:lineRule="exact"/>
      <w:jc w:val="left"/>
    </w:pPr>
    <w:rPr>
      <w:rFonts w:ascii="Verdana" w:hAnsi="Verdana"/>
      <w:kern w:val="0"/>
      <w:szCs w:val="20"/>
      <w:lang w:eastAsia="en-US"/>
    </w:rPr>
  </w:style>
  <w:style w:type="paragraph" w:customStyle="1" w:styleId="64">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5">
    <w:name w:val="Char Char Char2 Char1"/>
    <w:basedOn w:val="1"/>
    <w:qFormat/>
    <w:uiPriority w:val="0"/>
    <w:pPr>
      <w:widowControl/>
      <w:spacing w:after="160" w:line="240" w:lineRule="exact"/>
      <w:jc w:val="left"/>
    </w:pPr>
    <w:rPr>
      <w:rFonts w:ascii="Verdana" w:hAnsi="Verdana"/>
      <w:kern w:val="0"/>
      <w:szCs w:val="20"/>
      <w:lang w:eastAsia="en-US"/>
    </w:rPr>
  </w:style>
  <w:style w:type="paragraph" w:customStyle="1" w:styleId="66">
    <w:name w:val="Char Char Char Char"/>
    <w:basedOn w:val="1"/>
    <w:semiHidden/>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9">
    <w:name w:val="z-窗体顶端1"/>
    <w:basedOn w:val="1"/>
    <w:next w:val="1"/>
    <w:qFormat/>
    <w:uiPriority w:val="0"/>
    <w:pPr>
      <w:pBdr>
        <w:bottom w:val="single" w:color="auto" w:sz="6" w:space="1"/>
      </w:pBdr>
      <w:jc w:val="center"/>
    </w:pPr>
    <w:rPr>
      <w:rFonts w:ascii="Arial"/>
      <w:vanish/>
      <w:sz w:val="16"/>
    </w:rPr>
  </w:style>
  <w:style w:type="character" w:customStyle="1" w:styleId="70">
    <w:name w:val="标题 2 Char"/>
    <w:link w:val="7"/>
    <w:qFormat/>
    <w:locked/>
    <w:uiPriority w:val="0"/>
    <w:rPr>
      <w:rFonts w:ascii="宋体" w:hAnsi="宋体"/>
      <w:b/>
      <w:bCs/>
      <w:sz w:val="24"/>
    </w:rPr>
  </w:style>
  <w:style w:type="character" w:customStyle="1" w:styleId="71">
    <w:name w:val="标题 3 Char1"/>
    <w:link w:val="5"/>
    <w:qFormat/>
    <w:locked/>
    <w:uiPriority w:val="0"/>
    <w:rPr>
      <w:rFonts w:ascii="宋体" w:hAnsi="宋体"/>
      <w:b/>
      <w:kern w:val="2"/>
      <w:sz w:val="28"/>
      <w:szCs w:val="32"/>
    </w:rPr>
  </w:style>
  <w:style w:type="character" w:customStyle="1" w:styleId="72">
    <w:name w:val="标题 5 Char"/>
    <w:link w:val="8"/>
    <w:qFormat/>
    <w:uiPriority w:val="0"/>
    <w:rPr>
      <w:rFonts w:ascii="Arial" w:hAnsi="Arial" w:eastAsia="Times New Roman" w:cs="Verdana"/>
      <w:b/>
      <w:bCs/>
      <w:kern w:val="2"/>
      <w:sz w:val="28"/>
      <w:szCs w:val="28"/>
      <w:lang w:eastAsia="en-US"/>
    </w:rPr>
  </w:style>
  <w:style w:type="character" w:customStyle="1" w:styleId="73">
    <w:name w:val="标题 6 Char"/>
    <w:link w:val="9"/>
    <w:qFormat/>
    <w:uiPriority w:val="0"/>
    <w:rPr>
      <w:rFonts w:ascii="Arial" w:hAnsi="Arial" w:eastAsia="黑体" w:cs="Verdana"/>
      <w:b/>
      <w:kern w:val="2"/>
      <w:sz w:val="24"/>
      <w:szCs w:val="20"/>
      <w:lang w:eastAsia="en-US"/>
    </w:rPr>
  </w:style>
  <w:style w:type="character" w:customStyle="1" w:styleId="74">
    <w:name w:val="标题 7 Char"/>
    <w:link w:val="11"/>
    <w:qFormat/>
    <w:uiPriority w:val="0"/>
    <w:rPr>
      <w:rFonts w:ascii="Arial" w:hAnsi="Arial" w:eastAsia="Times New Roman" w:cs="Verdana"/>
      <w:b/>
      <w:kern w:val="2"/>
      <w:sz w:val="24"/>
      <w:szCs w:val="20"/>
      <w:lang w:eastAsia="en-US"/>
    </w:rPr>
  </w:style>
  <w:style w:type="character" w:customStyle="1" w:styleId="75">
    <w:name w:val="标题 8 Char"/>
    <w:link w:val="12"/>
    <w:qFormat/>
    <w:uiPriority w:val="0"/>
    <w:rPr>
      <w:rFonts w:ascii="Arial" w:hAnsi="Arial" w:eastAsia="黑体" w:cs="Verdana"/>
      <w:b/>
      <w:kern w:val="2"/>
      <w:sz w:val="24"/>
      <w:szCs w:val="20"/>
      <w:lang w:eastAsia="en-US"/>
    </w:rPr>
  </w:style>
  <w:style w:type="character" w:customStyle="1" w:styleId="76">
    <w:name w:val="标题 9 Char"/>
    <w:link w:val="13"/>
    <w:qFormat/>
    <w:uiPriority w:val="0"/>
    <w:rPr>
      <w:rFonts w:ascii="Arial" w:hAnsi="Arial" w:eastAsia="黑体" w:cs="Verdana"/>
      <w:b/>
      <w:kern w:val="2"/>
      <w:sz w:val="21"/>
      <w:szCs w:val="20"/>
      <w:lang w:eastAsia="en-US"/>
    </w:rPr>
  </w:style>
  <w:style w:type="character" w:customStyle="1" w:styleId="77">
    <w:name w:val="标题 1 Char"/>
    <w:link w:val="4"/>
    <w:qFormat/>
    <w:locked/>
    <w:uiPriority w:val="0"/>
    <w:rPr>
      <w:rFonts w:ascii="宋体" w:hAnsi="宋体" w:eastAsia="黑体"/>
      <w:b/>
      <w:bCs/>
      <w:kern w:val="44"/>
      <w:sz w:val="28"/>
      <w:szCs w:val="44"/>
    </w:rPr>
  </w:style>
  <w:style w:type="character" w:customStyle="1" w:styleId="78">
    <w:name w:val="正文缩进 Char1"/>
    <w:link w:val="10"/>
    <w:qFormat/>
    <w:locked/>
    <w:uiPriority w:val="0"/>
    <w:rPr>
      <w:kern w:val="2"/>
      <w:sz w:val="21"/>
    </w:rPr>
  </w:style>
  <w:style w:type="character" w:customStyle="1" w:styleId="79">
    <w:name w:val="文档结构图 Char"/>
    <w:link w:val="17"/>
    <w:semiHidden/>
    <w:qFormat/>
    <w:locked/>
    <w:uiPriority w:val="0"/>
    <w:rPr>
      <w:kern w:val="2"/>
      <w:sz w:val="21"/>
      <w:szCs w:val="24"/>
      <w:shd w:val="clear" w:color="auto" w:fill="000080"/>
    </w:rPr>
  </w:style>
  <w:style w:type="character" w:customStyle="1" w:styleId="80">
    <w:name w:val="日期 Char"/>
    <w:link w:val="22"/>
    <w:qFormat/>
    <w:locked/>
    <w:uiPriority w:val="0"/>
    <w:rPr>
      <w:rFonts w:ascii="宋体" w:hAnsi="Courier New"/>
      <w:kern w:val="2"/>
      <w:sz w:val="32"/>
    </w:rPr>
  </w:style>
  <w:style w:type="character" w:customStyle="1" w:styleId="81">
    <w:name w:val="页脚 Char"/>
    <w:link w:val="25"/>
    <w:qFormat/>
    <w:locked/>
    <w:uiPriority w:val="0"/>
    <w:rPr>
      <w:kern w:val="2"/>
      <w:sz w:val="18"/>
      <w:szCs w:val="18"/>
    </w:rPr>
  </w:style>
  <w:style w:type="character" w:customStyle="1" w:styleId="82">
    <w:name w:val="页眉 Char1"/>
    <w:qFormat/>
    <w:uiPriority w:val="0"/>
    <w:rPr>
      <w:rFonts w:ascii="Arial" w:hAnsi="Arial" w:eastAsia="Times New Roman" w:cs="Verdana"/>
      <w:b/>
      <w:kern w:val="2"/>
      <w:sz w:val="18"/>
      <w:szCs w:val="18"/>
      <w:lang w:eastAsia="en-US"/>
    </w:rPr>
  </w:style>
  <w:style w:type="character" w:customStyle="1" w:styleId="83">
    <w:name w:val="h Char Char"/>
    <w:qFormat/>
    <w:locked/>
    <w:uiPriority w:val="0"/>
    <w:rPr>
      <w:rFonts w:eastAsia="宋体"/>
      <w:kern w:val="2"/>
      <w:sz w:val="18"/>
      <w:lang w:val="en-US" w:eastAsia="zh-CN" w:bidi="ar-SA"/>
    </w:rPr>
  </w:style>
  <w:style w:type="character" w:customStyle="1" w:styleId="84">
    <w:name w:val="HTML 预设格式 Char"/>
    <w:link w:val="31"/>
    <w:qFormat/>
    <w:locked/>
    <w:uiPriority w:val="0"/>
    <w:rPr>
      <w:rFonts w:ascii="Arial Unicode MS" w:hAnsi="Arial Unicode MS" w:eastAsia="Arial Unicode MS"/>
      <w:color w:val="000000"/>
    </w:rPr>
  </w:style>
  <w:style w:type="character" w:customStyle="1" w:styleId="85">
    <w:name w:val="HTML 预设格式 Char1"/>
    <w:qFormat/>
    <w:uiPriority w:val="0"/>
    <w:rPr>
      <w:rFonts w:ascii="Courier New" w:hAnsi="Courier New" w:eastAsia="Times New Roman" w:cs="Courier New"/>
      <w:b/>
      <w:kern w:val="2"/>
      <w:sz w:val="24"/>
      <w:szCs w:val="20"/>
      <w:lang w:eastAsia="en-US"/>
    </w:rPr>
  </w:style>
  <w:style w:type="character" w:customStyle="1" w:styleId="86">
    <w:name w:val="标题 Char"/>
    <w:link w:val="33"/>
    <w:qFormat/>
    <w:locked/>
    <w:uiPriority w:val="0"/>
    <w:rPr>
      <w:rFonts w:ascii="Arial" w:hAnsi="Arial" w:eastAsia="隶书" w:cs="Arial"/>
      <w:b/>
      <w:bCs/>
      <w:kern w:val="2"/>
      <w:sz w:val="32"/>
      <w:szCs w:val="32"/>
    </w:rPr>
  </w:style>
  <w:style w:type="character" w:customStyle="1" w:styleId="87">
    <w:name w:val="标题 Char1"/>
    <w:qFormat/>
    <w:uiPriority w:val="0"/>
    <w:rPr>
      <w:rFonts w:ascii="Cambria" w:hAnsi="Cambria" w:eastAsia="Times New Roman" w:cs="Times New Roman"/>
      <w:b/>
      <w:bCs/>
      <w:kern w:val="2"/>
      <w:sz w:val="32"/>
      <w:szCs w:val="32"/>
      <w:lang w:eastAsia="en-US"/>
    </w:rPr>
  </w:style>
  <w:style w:type="character" w:customStyle="1" w:styleId="88">
    <w:name w:val="正文文本 Char1"/>
    <w:link w:val="19"/>
    <w:qFormat/>
    <w:locked/>
    <w:uiPriority w:val="0"/>
    <w:rPr>
      <w:rFonts w:ascii="宋体" w:hAnsi="宋体"/>
      <w:b/>
      <w:bCs/>
      <w:kern w:val="2"/>
      <w:sz w:val="24"/>
      <w:szCs w:val="24"/>
    </w:rPr>
  </w:style>
  <w:style w:type="character" w:customStyle="1" w:styleId="89">
    <w:name w:val="正文文本 Char"/>
    <w:qFormat/>
    <w:uiPriority w:val="0"/>
    <w:rPr>
      <w:rFonts w:ascii="Arial" w:hAnsi="Arial" w:eastAsia="Times New Roman" w:cs="Verdana"/>
      <w:b/>
      <w:kern w:val="2"/>
      <w:sz w:val="21"/>
      <w:szCs w:val="24"/>
      <w:lang w:eastAsia="en-US"/>
    </w:rPr>
  </w:style>
  <w:style w:type="character" w:customStyle="1" w:styleId="90">
    <w:name w:val="正文文本缩进 Char"/>
    <w:link w:val="3"/>
    <w:qFormat/>
    <w:locked/>
    <w:uiPriority w:val="0"/>
    <w:rPr>
      <w:rFonts w:ascii="宋体" w:hAnsi="宋体"/>
      <w:kern w:val="2"/>
      <w:sz w:val="21"/>
      <w:szCs w:val="24"/>
    </w:rPr>
  </w:style>
  <w:style w:type="character" w:customStyle="1" w:styleId="91">
    <w:name w:val="正文文本缩进 Char1"/>
    <w:qFormat/>
    <w:uiPriority w:val="0"/>
    <w:rPr>
      <w:rFonts w:ascii="Arial" w:hAnsi="Arial" w:eastAsia="Times New Roman" w:cs="Verdana"/>
      <w:b/>
      <w:kern w:val="2"/>
      <w:sz w:val="21"/>
      <w:szCs w:val="24"/>
      <w:lang w:eastAsia="en-US"/>
    </w:rPr>
  </w:style>
  <w:style w:type="character" w:customStyle="1" w:styleId="92">
    <w:name w:val="正文文本 2 Char"/>
    <w:link w:val="30"/>
    <w:qFormat/>
    <w:locked/>
    <w:uiPriority w:val="0"/>
    <w:rPr>
      <w:rFonts w:ascii="宋体" w:hAnsi="宋体"/>
      <w:kern w:val="2"/>
      <w:sz w:val="24"/>
      <w:szCs w:val="24"/>
    </w:rPr>
  </w:style>
  <w:style w:type="character" w:customStyle="1" w:styleId="93">
    <w:name w:val="正文文本 2 Char1"/>
    <w:qFormat/>
    <w:uiPriority w:val="0"/>
    <w:rPr>
      <w:rFonts w:ascii="Arial" w:hAnsi="Arial" w:eastAsia="Times New Roman" w:cs="Verdana"/>
      <w:b/>
      <w:kern w:val="2"/>
      <w:sz w:val="21"/>
      <w:szCs w:val="24"/>
      <w:lang w:eastAsia="en-US"/>
    </w:rPr>
  </w:style>
  <w:style w:type="character" w:customStyle="1" w:styleId="94">
    <w:name w:val="正文文本 3 Char"/>
    <w:link w:val="18"/>
    <w:qFormat/>
    <w:locked/>
    <w:uiPriority w:val="0"/>
    <w:rPr>
      <w:rFonts w:ascii="宋体" w:hAnsi="宋体"/>
      <w:kern w:val="2"/>
      <w:sz w:val="16"/>
      <w:szCs w:val="16"/>
    </w:rPr>
  </w:style>
  <w:style w:type="character" w:customStyle="1" w:styleId="95">
    <w:name w:val="正文文本 3 Char1"/>
    <w:qFormat/>
    <w:uiPriority w:val="0"/>
    <w:rPr>
      <w:rFonts w:ascii="Arial" w:hAnsi="Arial" w:eastAsia="Times New Roman" w:cs="Verdana"/>
      <w:b/>
      <w:kern w:val="2"/>
      <w:sz w:val="16"/>
      <w:szCs w:val="16"/>
      <w:lang w:eastAsia="en-US"/>
    </w:rPr>
  </w:style>
  <w:style w:type="character" w:customStyle="1" w:styleId="96">
    <w:name w:val="正文文本缩进 2 Char"/>
    <w:link w:val="23"/>
    <w:qFormat/>
    <w:locked/>
    <w:uiPriority w:val="0"/>
    <w:rPr>
      <w:rFonts w:ascii="宋体" w:hAnsi="宋体"/>
      <w:kern w:val="2"/>
      <w:sz w:val="21"/>
      <w:szCs w:val="24"/>
    </w:rPr>
  </w:style>
  <w:style w:type="character" w:customStyle="1" w:styleId="97">
    <w:name w:val="正文文本缩进 2 Char1"/>
    <w:qFormat/>
    <w:uiPriority w:val="0"/>
    <w:rPr>
      <w:rFonts w:ascii="Arial" w:hAnsi="Arial" w:eastAsia="Times New Roman" w:cs="Verdana"/>
      <w:b/>
      <w:kern w:val="2"/>
      <w:sz w:val="21"/>
      <w:szCs w:val="24"/>
      <w:lang w:eastAsia="en-US"/>
    </w:rPr>
  </w:style>
  <w:style w:type="character" w:customStyle="1" w:styleId="98">
    <w:name w:val="正文文本缩进 3 Char"/>
    <w:link w:val="28"/>
    <w:qFormat/>
    <w:locked/>
    <w:uiPriority w:val="0"/>
    <w:rPr>
      <w:rFonts w:ascii="宋体" w:hAnsi="宋体"/>
      <w:b/>
      <w:bCs/>
      <w:kern w:val="2"/>
      <w:sz w:val="24"/>
      <w:szCs w:val="24"/>
    </w:rPr>
  </w:style>
  <w:style w:type="character" w:customStyle="1" w:styleId="99">
    <w:name w:val="正文文本缩进 3 Char1"/>
    <w:qFormat/>
    <w:uiPriority w:val="0"/>
    <w:rPr>
      <w:rFonts w:ascii="Arial" w:hAnsi="Arial" w:eastAsia="Times New Roman" w:cs="Verdana"/>
      <w:b/>
      <w:kern w:val="2"/>
      <w:sz w:val="16"/>
      <w:szCs w:val="16"/>
      <w:lang w:eastAsia="en-US"/>
    </w:rPr>
  </w:style>
  <w:style w:type="character" w:customStyle="1" w:styleId="100">
    <w:name w:val="纯文本 Char1"/>
    <w:link w:val="21"/>
    <w:qFormat/>
    <w:locked/>
    <w:uiPriority w:val="0"/>
    <w:rPr>
      <w:rFonts w:ascii="宋体" w:hAnsi="Courier New"/>
      <w:kern w:val="2"/>
      <w:sz w:val="21"/>
    </w:rPr>
  </w:style>
  <w:style w:type="character" w:customStyle="1" w:styleId="101">
    <w:name w:val="纯文本 Char"/>
    <w:qFormat/>
    <w:uiPriority w:val="0"/>
    <w:rPr>
      <w:rFonts w:ascii="宋体" w:hAnsi="Courier New" w:eastAsia="Times New Roman" w:cs="Courier New"/>
      <w:b/>
      <w:kern w:val="2"/>
      <w:sz w:val="21"/>
      <w:szCs w:val="21"/>
      <w:lang w:eastAsia="en-US"/>
    </w:rPr>
  </w:style>
  <w:style w:type="paragraph" w:customStyle="1" w:styleId="102">
    <w:name w:val="样式41"/>
    <w:basedOn w:val="1"/>
    <w:qFormat/>
    <w:uiPriority w:val="0"/>
    <w:pPr>
      <w:numPr>
        <w:ilvl w:val="0"/>
        <w:numId w:val="2"/>
      </w:numPr>
      <w:tabs>
        <w:tab w:val="left" w:pos="945"/>
      </w:tabs>
      <w:spacing w:line="360" w:lineRule="auto"/>
      <w:ind w:left="0"/>
    </w:pPr>
    <w:rPr>
      <w:b/>
      <w:color w:val="000000"/>
      <w:sz w:val="24"/>
      <w:szCs w:val="20"/>
    </w:rPr>
  </w:style>
  <w:style w:type="paragraph" w:customStyle="1" w:styleId="103">
    <w:name w:val="文档正文"/>
    <w:basedOn w:val="1"/>
    <w:qFormat/>
    <w:uiPriority w:val="0"/>
    <w:pPr>
      <w:adjustRightInd w:val="0"/>
      <w:spacing w:line="480" w:lineRule="atLeast"/>
      <w:ind w:firstLine="567" w:firstLineChars="200"/>
    </w:pPr>
    <w:rPr>
      <w:rFonts w:ascii="长城仿宋"/>
      <w:kern w:val="0"/>
      <w:szCs w:val="20"/>
    </w:rPr>
  </w:style>
  <w:style w:type="paragraph" w:customStyle="1" w:styleId="104">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5">
    <w:name w:val="Table Contents"/>
    <w:basedOn w:val="1"/>
    <w:qFormat/>
    <w:uiPriority w:val="0"/>
    <w:pPr>
      <w:suppressAutoHyphens/>
      <w:autoSpaceDE w:val="0"/>
      <w:spacing w:after="120"/>
      <w:jc w:val="left"/>
    </w:pPr>
    <w:rPr>
      <w:rFonts w:ascii="Helvetica" w:hAnsi="Helvetica"/>
      <w:sz w:val="20"/>
      <w:szCs w:val="20"/>
    </w:rPr>
  </w:style>
  <w:style w:type="paragraph" w:customStyle="1" w:styleId="106">
    <w:name w:val="自定义正文"/>
    <w:basedOn w:val="1"/>
    <w:qFormat/>
    <w:uiPriority w:val="0"/>
    <w:pPr>
      <w:spacing w:afterLines="50"/>
      <w:ind w:left="600" w:leftChars="600"/>
    </w:pPr>
  </w:style>
  <w:style w:type="paragraph" w:customStyle="1" w:styleId="107">
    <w:name w:val="Char Char Char Char Char"/>
    <w:basedOn w:val="1"/>
    <w:qFormat/>
    <w:uiPriority w:val="0"/>
    <w:rPr>
      <w:rFonts w:ascii="Tahoma" w:hAnsi="Tahoma"/>
      <w:sz w:val="24"/>
      <w:szCs w:val="20"/>
    </w:rPr>
  </w:style>
  <w:style w:type="paragraph" w:customStyle="1" w:styleId="108">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109">
    <w:name w:val="Char Char"/>
    <w:basedOn w:val="1"/>
    <w:qFormat/>
    <w:uiPriority w:val="0"/>
    <w:rPr>
      <w:rFonts w:ascii="Tahoma" w:hAnsi="Tahoma"/>
      <w:sz w:val="24"/>
      <w:szCs w:val="20"/>
    </w:rPr>
  </w:style>
  <w:style w:type="paragraph" w:customStyle="1" w:styleId="110">
    <w:name w:val="È±Ê¡ÎÄ±¾"/>
    <w:basedOn w:val="1"/>
    <w:qFormat/>
    <w:uiPriority w:val="0"/>
    <w:pPr>
      <w:widowControl/>
      <w:overflowPunct w:val="0"/>
      <w:autoSpaceDE w:val="0"/>
      <w:autoSpaceDN w:val="0"/>
      <w:adjustRightInd w:val="0"/>
      <w:jc w:val="left"/>
    </w:pPr>
    <w:rPr>
      <w:kern w:val="0"/>
      <w:sz w:val="24"/>
      <w:szCs w:val="20"/>
    </w:rPr>
  </w:style>
  <w:style w:type="character" w:customStyle="1" w:styleId="111">
    <w:name w:val="标准正文 Char"/>
    <w:link w:val="112"/>
    <w:qFormat/>
    <w:uiPriority w:val="0"/>
    <w:rPr>
      <w:rFonts w:ascii="宋体" w:hAnsi="宋体"/>
      <w:kern w:val="2"/>
      <w:sz w:val="21"/>
      <w:szCs w:val="22"/>
      <w:lang w:val="zh-CN"/>
    </w:rPr>
  </w:style>
  <w:style w:type="paragraph" w:customStyle="1" w:styleId="112">
    <w:name w:val="标准正文"/>
    <w:basedOn w:val="1"/>
    <w:link w:val="111"/>
    <w:qFormat/>
    <w:uiPriority w:val="0"/>
    <w:pPr>
      <w:tabs>
        <w:tab w:val="left" w:pos="0"/>
        <w:tab w:val="left" w:pos="360"/>
      </w:tabs>
      <w:autoSpaceDE w:val="0"/>
      <w:autoSpaceDN w:val="0"/>
      <w:adjustRightInd w:val="0"/>
      <w:jc w:val="left"/>
    </w:pPr>
    <w:rPr>
      <w:rFonts w:ascii="宋体" w:hAnsi="宋体"/>
      <w:szCs w:val="22"/>
      <w:lang w:val="zh-CN"/>
    </w:rPr>
  </w:style>
  <w:style w:type="character" w:customStyle="1" w:styleId="113">
    <w:name w:val="Char Char18"/>
    <w:qFormat/>
    <w:uiPriority w:val="0"/>
    <w:rPr>
      <w:b/>
      <w:kern w:val="2"/>
      <w:sz w:val="28"/>
    </w:rPr>
  </w:style>
  <w:style w:type="character" w:customStyle="1" w:styleId="114">
    <w:name w:val="Char Char17"/>
    <w:qFormat/>
    <w:uiPriority w:val="0"/>
    <w:rPr>
      <w:rFonts w:ascii="Arial" w:hAnsi="Arial" w:eastAsia="黑体" w:cs="Arial"/>
      <w:b/>
      <w:kern w:val="2"/>
      <w:sz w:val="24"/>
    </w:rPr>
  </w:style>
  <w:style w:type="character" w:customStyle="1" w:styleId="115">
    <w:name w:val="Char Char5"/>
    <w:qFormat/>
    <w:uiPriority w:val="0"/>
    <w:rPr>
      <w:kern w:val="2"/>
      <w:sz w:val="18"/>
      <w:szCs w:val="18"/>
    </w:rPr>
  </w:style>
  <w:style w:type="character" w:customStyle="1" w:styleId="116">
    <w:name w:val="Char Char12"/>
    <w:qFormat/>
    <w:uiPriority w:val="0"/>
    <w:rPr>
      <w:kern w:val="2"/>
      <w:sz w:val="16"/>
      <w:szCs w:val="16"/>
    </w:rPr>
  </w:style>
  <w:style w:type="character" w:customStyle="1" w:styleId="117">
    <w:name w:val="Char Char4"/>
    <w:qFormat/>
    <w:uiPriority w:val="0"/>
    <w:rPr>
      <w:rFonts w:hint="eastAsia" w:ascii="宋体" w:hAnsi="宋体" w:eastAsia="宋体" w:cs="宋体"/>
      <w:b/>
      <w:kern w:val="2"/>
      <w:sz w:val="24"/>
      <w:szCs w:val="24"/>
    </w:rPr>
  </w:style>
  <w:style w:type="character" w:customStyle="1" w:styleId="118">
    <w:name w:val="apple-converted-space"/>
    <w:basedOn w:val="34"/>
    <w:qFormat/>
    <w:uiPriority w:val="0"/>
    <w:rPr>
      <w:rFonts w:ascii="Arial" w:hAnsi="Arial" w:eastAsia="Times New Roman" w:cs="Verdana"/>
      <w:b/>
      <w:kern w:val="0"/>
      <w:sz w:val="24"/>
      <w:szCs w:val="20"/>
      <w:lang w:eastAsia="en-US"/>
    </w:rPr>
  </w:style>
  <w:style w:type="character" w:customStyle="1" w:styleId="119">
    <w:name w:val="Char Char14"/>
    <w:qFormat/>
    <w:uiPriority w:val="0"/>
    <w:rPr>
      <w:rFonts w:ascii="Arial" w:hAnsi="Arial" w:eastAsia="黑体" w:cs="Arial"/>
      <w:kern w:val="2"/>
      <w:sz w:val="21"/>
    </w:rPr>
  </w:style>
  <w:style w:type="character" w:customStyle="1" w:styleId="120">
    <w:name w:val="正文首行缩进 2 Char1"/>
    <w:link w:val="2"/>
    <w:qFormat/>
    <w:uiPriority w:val="0"/>
    <w:rPr>
      <w:kern w:val="2"/>
      <w:sz w:val="21"/>
      <w:szCs w:val="24"/>
    </w:rPr>
  </w:style>
  <w:style w:type="character" w:customStyle="1" w:styleId="121">
    <w:name w:val="正文首行缩进 2 Char"/>
    <w:basedOn w:val="91"/>
    <w:qFormat/>
    <w:uiPriority w:val="0"/>
    <w:rPr>
      <w:rFonts w:ascii="Arial" w:hAnsi="Arial" w:eastAsia="Times New Roman" w:cs="Verdana"/>
      <w:kern w:val="2"/>
      <w:sz w:val="21"/>
      <w:szCs w:val="24"/>
      <w:lang w:eastAsia="en-US"/>
    </w:rPr>
  </w:style>
  <w:style w:type="character" w:customStyle="1" w:styleId="122">
    <w:name w:val="Char Char8"/>
    <w:qFormat/>
    <w:uiPriority w:val="0"/>
    <w:rPr>
      <w:rFonts w:hint="eastAsia" w:ascii="Arial Unicode MS" w:hAnsi="Arial Unicode MS" w:eastAsia="Arial Unicode MS" w:cs="Arial Unicode MS"/>
      <w:color w:val="000000"/>
    </w:rPr>
  </w:style>
  <w:style w:type="character" w:customStyle="1" w:styleId="123">
    <w:name w:val="Char Char21"/>
    <w:qFormat/>
    <w:uiPriority w:val="0"/>
    <w:rPr>
      <w:rFonts w:hint="eastAsia" w:ascii="宋体" w:hAnsi="宋体" w:eastAsia="宋体" w:cs="宋体"/>
      <w:b/>
      <w:sz w:val="24"/>
    </w:rPr>
  </w:style>
  <w:style w:type="character" w:customStyle="1" w:styleId="124">
    <w:name w:val="Char Char19"/>
    <w:qFormat/>
    <w:uiPriority w:val="0"/>
    <w:rPr>
      <w:rFonts w:ascii="Arial" w:hAnsi="Arial" w:eastAsia="黑体" w:cs="Arial"/>
      <w:b/>
      <w:kern w:val="2"/>
      <w:sz w:val="28"/>
      <w:szCs w:val="28"/>
    </w:rPr>
  </w:style>
  <w:style w:type="character" w:customStyle="1" w:styleId="125">
    <w:name w:val="Char Char9"/>
    <w:qFormat/>
    <w:uiPriority w:val="0"/>
    <w:rPr>
      <w:rFonts w:hint="eastAsia" w:ascii="宋体" w:hAnsi="宋体" w:eastAsia="宋体" w:cs="宋体"/>
      <w:b/>
      <w:kern w:val="2"/>
      <w:sz w:val="21"/>
      <w:szCs w:val="24"/>
    </w:rPr>
  </w:style>
  <w:style w:type="character" w:customStyle="1" w:styleId="126">
    <w:name w:val="title_emph"/>
    <w:basedOn w:val="34"/>
    <w:qFormat/>
    <w:uiPriority w:val="0"/>
    <w:rPr>
      <w:rFonts w:ascii="Arial" w:hAnsi="Arial" w:eastAsia="Times New Roman" w:cs="Verdana"/>
      <w:b/>
      <w:kern w:val="0"/>
      <w:sz w:val="24"/>
      <w:szCs w:val="20"/>
      <w:lang w:eastAsia="en-US"/>
    </w:rPr>
  </w:style>
  <w:style w:type="character" w:customStyle="1" w:styleId="127">
    <w:name w:val="Char Char15"/>
    <w:qFormat/>
    <w:uiPriority w:val="0"/>
    <w:rPr>
      <w:rFonts w:ascii="Arial" w:hAnsi="Arial" w:eastAsia="黑体" w:cs="Arial"/>
      <w:kern w:val="2"/>
      <w:sz w:val="24"/>
    </w:rPr>
  </w:style>
  <w:style w:type="character" w:customStyle="1" w:styleId="128">
    <w:name w:val="ca-3"/>
    <w:basedOn w:val="34"/>
    <w:qFormat/>
    <w:uiPriority w:val="0"/>
    <w:rPr>
      <w:rFonts w:ascii="Arial" w:hAnsi="Arial" w:eastAsia="Times New Roman" w:cs="Verdana"/>
      <w:b/>
      <w:kern w:val="0"/>
      <w:sz w:val="24"/>
      <w:szCs w:val="20"/>
      <w:lang w:eastAsia="en-US"/>
    </w:rPr>
  </w:style>
  <w:style w:type="character" w:customStyle="1" w:styleId="129">
    <w:name w:val="Char Char6"/>
    <w:qFormat/>
    <w:uiPriority w:val="0"/>
    <w:rPr>
      <w:rFonts w:hint="eastAsia" w:ascii="宋体" w:hAnsi="宋体" w:eastAsia="宋体" w:cs="宋体"/>
      <w:sz w:val="34"/>
    </w:rPr>
  </w:style>
  <w:style w:type="character" w:customStyle="1" w:styleId="130">
    <w:name w:val="font61"/>
    <w:qFormat/>
    <w:uiPriority w:val="0"/>
    <w:rPr>
      <w:rFonts w:hint="default" w:ascii="Times New Roman" w:hAnsi="Times New Roman" w:cs="Times New Roman"/>
      <w:color w:val="000000"/>
      <w:sz w:val="21"/>
      <w:szCs w:val="21"/>
      <w:u w:val="none"/>
    </w:rPr>
  </w:style>
  <w:style w:type="character" w:customStyle="1" w:styleId="131">
    <w:name w:val="font51"/>
    <w:qFormat/>
    <w:uiPriority w:val="0"/>
    <w:rPr>
      <w:rFonts w:hint="eastAsia" w:ascii="宋体" w:hAnsi="宋体" w:eastAsia="宋体" w:cs="宋体"/>
      <w:color w:val="000000"/>
      <w:sz w:val="21"/>
      <w:szCs w:val="21"/>
      <w:u w:val="none"/>
    </w:rPr>
  </w:style>
  <w:style w:type="character" w:customStyle="1" w:styleId="132">
    <w:name w:val="Char Char7"/>
    <w:qFormat/>
    <w:uiPriority w:val="0"/>
    <w:rPr>
      <w:kern w:val="2"/>
      <w:sz w:val="24"/>
      <w:szCs w:val="24"/>
    </w:rPr>
  </w:style>
  <w:style w:type="character" w:customStyle="1" w:styleId="133">
    <w:name w:val="Char Char13"/>
    <w:qFormat/>
    <w:uiPriority w:val="0"/>
    <w:rPr>
      <w:rFonts w:hint="eastAsia" w:ascii="宋体" w:hAnsi="宋体" w:eastAsia="宋体" w:cs="宋体"/>
      <w:kern w:val="2"/>
      <w:sz w:val="21"/>
      <w:szCs w:val="24"/>
    </w:rPr>
  </w:style>
  <w:style w:type="character" w:customStyle="1" w:styleId="134">
    <w:name w:val="列出段落 Char"/>
    <w:link w:val="135"/>
    <w:qFormat/>
    <w:uiPriority w:val="0"/>
    <w:rPr>
      <w:rFonts w:ascii="Calibri" w:hAnsi="Calibri"/>
      <w:kern w:val="2"/>
      <w:sz w:val="21"/>
      <w:szCs w:val="22"/>
    </w:rPr>
  </w:style>
  <w:style w:type="paragraph" w:customStyle="1" w:styleId="135">
    <w:name w:val="msolistparagraph"/>
    <w:basedOn w:val="1"/>
    <w:link w:val="134"/>
    <w:qFormat/>
    <w:uiPriority w:val="0"/>
    <w:pPr>
      <w:ind w:firstLine="420" w:firstLineChars="200"/>
    </w:pPr>
    <w:rPr>
      <w:rFonts w:ascii="Calibri" w:hAnsi="Calibri"/>
      <w:szCs w:val="22"/>
    </w:rPr>
  </w:style>
  <w:style w:type="character" w:customStyle="1" w:styleId="136">
    <w:name w:val="Char Char11"/>
    <w:qFormat/>
    <w:uiPriority w:val="0"/>
    <w:rPr>
      <w:rFonts w:ascii="Arial" w:hAnsi="Arial" w:eastAsia="隶书" w:cs="Arial"/>
      <w:b/>
      <w:kern w:val="2"/>
      <w:sz w:val="32"/>
      <w:szCs w:val="32"/>
    </w:rPr>
  </w:style>
  <w:style w:type="character" w:customStyle="1" w:styleId="137">
    <w:name w:val="Char Char20"/>
    <w:qFormat/>
    <w:uiPriority w:val="0"/>
    <w:rPr>
      <w:rFonts w:hint="eastAsia" w:ascii="宋体" w:hAnsi="宋体" w:eastAsia="宋体" w:cs="宋体"/>
      <w:b/>
      <w:kern w:val="2"/>
      <w:sz w:val="28"/>
      <w:szCs w:val="32"/>
    </w:rPr>
  </w:style>
  <w:style w:type="character" w:customStyle="1" w:styleId="138">
    <w:name w:val="Char Char16"/>
    <w:qFormat/>
    <w:uiPriority w:val="0"/>
    <w:rPr>
      <w:b/>
      <w:kern w:val="2"/>
      <w:sz w:val="24"/>
    </w:rPr>
  </w:style>
  <w:style w:type="character" w:customStyle="1" w:styleId="139">
    <w:name w:val="ca-4"/>
    <w:basedOn w:val="34"/>
    <w:qFormat/>
    <w:uiPriority w:val="0"/>
    <w:rPr>
      <w:rFonts w:ascii="Arial" w:hAnsi="Arial" w:eastAsia="Times New Roman" w:cs="Verdana"/>
      <w:b/>
      <w:kern w:val="0"/>
      <w:sz w:val="24"/>
      <w:szCs w:val="20"/>
      <w:lang w:eastAsia="en-US"/>
    </w:rPr>
  </w:style>
  <w:style w:type="character" w:customStyle="1" w:styleId="140">
    <w:name w:val="font31"/>
    <w:qFormat/>
    <w:uiPriority w:val="0"/>
    <w:rPr>
      <w:rFonts w:hint="eastAsia" w:ascii="宋体" w:hAnsi="宋体" w:eastAsia="宋体" w:cs="宋体"/>
      <w:color w:val="000000"/>
      <w:sz w:val="21"/>
      <w:szCs w:val="21"/>
      <w:u w:val="none"/>
    </w:rPr>
  </w:style>
  <w:style w:type="character" w:customStyle="1" w:styleId="141">
    <w:name w:val="font21"/>
    <w:qFormat/>
    <w:uiPriority w:val="0"/>
    <w:rPr>
      <w:rFonts w:hint="default" w:ascii="Times New Roman" w:hAnsi="Times New Roman" w:cs="Times New Roman"/>
      <w:color w:val="000000"/>
      <w:sz w:val="21"/>
      <w:szCs w:val="21"/>
      <w:u w:val="none"/>
    </w:rPr>
  </w:style>
  <w:style w:type="character" w:customStyle="1" w:styleId="142">
    <w:name w:val="font11"/>
    <w:qFormat/>
    <w:uiPriority w:val="0"/>
    <w:rPr>
      <w:rFonts w:hint="eastAsia" w:ascii="宋体" w:hAnsi="宋体" w:eastAsia="宋体" w:cs="宋体"/>
      <w:color w:val="0000FF"/>
      <w:sz w:val="21"/>
      <w:szCs w:val="21"/>
      <w:u w:val="none"/>
    </w:rPr>
  </w:style>
  <w:style w:type="paragraph" w:customStyle="1" w:styleId="143">
    <w:name w:val="规范"/>
    <w:basedOn w:val="1"/>
    <w:next w:val="1"/>
    <w:qFormat/>
    <w:uiPriority w:val="0"/>
    <w:pPr>
      <w:tabs>
        <w:tab w:val="left" w:pos="420"/>
      </w:tabs>
      <w:spacing w:line="288" w:lineRule="auto"/>
      <w:ind w:left="420" w:hanging="420"/>
      <w:jc w:val="left"/>
    </w:pPr>
    <w:rPr>
      <w:sz w:val="24"/>
    </w:rPr>
  </w:style>
  <w:style w:type="paragraph" w:styleId="144">
    <w:name w:val="List Paragraph"/>
    <w:basedOn w:val="1"/>
    <w:qFormat/>
    <w:uiPriority w:val="0"/>
    <w:pPr>
      <w:ind w:firstLine="420" w:firstLineChars="200"/>
    </w:pPr>
    <w:rPr>
      <w:rFonts w:ascii="Calibri" w:hAnsi="Calibri"/>
      <w:szCs w:val="22"/>
    </w:rPr>
  </w:style>
  <w:style w:type="paragraph" w:customStyle="1" w:styleId="145">
    <w:name w:val="Char Char2 Char"/>
    <w:basedOn w:val="1"/>
    <w:qFormat/>
    <w:uiPriority w:val="0"/>
    <w:rPr>
      <w:rFonts w:ascii="Arial" w:hAnsi="Arial" w:eastAsia="Times New Roman"/>
      <w:b/>
      <w:kern w:val="0"/>
      <w:sz w:val="24"/>
      <w:szCs w:val="20"/>
      <w:lang w:eastAsia="en-US"/>
    </w:rPr>
  </w:style>
  <w:style w:type="paragraph" w:customStyle="1" w:styleId="146">
    <w:name w:val="正文段落"/>
    <w:basedOn w:val="1"/>
    <w:qFormat/>
    <w:uiPriority w:val="0"/>
    <w:pPr>
      <w:spacing w:line="360" w:lineRule="auto"/>
      <w:ind w:firstLine="440" w:firstLineChars="200"/>
    </w:pPr>
    <w:rPr>
      <w:rFonts w:ascii="宋体" w:hAnsi="宋体" w:cs="宋体"/>
      <w:kern w:val="0"/>
      <w:szCs w:val="20"/>
    </w:rPr>
  </w:style>
  <w:style w:type="paragraph" w:customStyle="1" w:styleId="14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列出段落1"/>
    <w:basedOn w:val="1"/>
    <w:qFormat/>
    <w:uiPriority w:val="34"/>
    <w:pPr>
      <w:ind w:firstLine="420" w:firstLineChars="200"/>
    </w:pPr>
  </w:style>
  <w:style w:type="paragraph" w:customStyle="1" w:styleId="149">
    <w:name w:val="无间隔1"/>
    <w:qFormat/>
    <w:uiPriority w:val="0"/>
    <w:pPr>
      <w:adjustRightInd w:val="0"/>
      <w:snapToGrid w:val="0"/>
    </w:pPr>
    <w:rPr>
      <w:rFonts w:ascii="Tahoma" w:hAnsi="Tahoma" w:eastAsia="微软雅黑" w:cs="Tahoma"/>
      <w:sz w:val="22"/>
      <w:szCs w:val="22"/>
      <w:lang w:val="en-US" w:eastAsia="zh-CN" w:bidi="ar-SA"/>
    </w:rPr>
  </w:style>
  <w:style w:type="paragraph" w:customStyle="1" w:styleId="150">
    <w:name w:val="列出段落2"/>
    <w:basedOn w:val="1"/>
    <w:qFormat/>
    <w:uiPriority w:val="0"/>
    <w:pPr>
      <w:ind w:firstLine="420" w:firstLineChars="200"/>
    </w:pPr>
    <w:rPr>
      <w:rFonts w:ascii="Calibri" w:hAnsi="Calibri"/>
      <w:szCs w:val="22"/>
    </w:rPr>
  </w:style>
  <w:style w:type="table" w:customStyle="1" w:styleId="151">
    <w:name w:val="网格型1"/>
    <w:basedOn w:val="41"/>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52">
    <w:name w:val="网格型2"/>
    <w:basedOn w:val="41"/>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3">
    <w:name w:val="p0"/>
    <w:basedOn w:val="1"/>
    <w:qFormat/>
    <w:uiPriority w:val="0"/>
    <w:pPr>
      <w:widowControl/>
    </w:pPr>
    <w:rPr>
      <w:kern w:val="0"/>
      <w:szCs w:val="21"/>
    </w:rPr>
  </w:style>
  <w:style w:type="character" w:customStyle="1" w:styleId="154">
    <w:name w:val="正文缩进 Char"/>
    <w:qFormat/>
    <w:locked/>
    <w:uiPriority w:val="0"/>
    <w:rPr>
      <w:kern w:val="2"/>
      <w:sz w:val="21"/>
    </w:rPr>
  </w:style>
  <w:style w:type="character" w:customStyle="1" w:styleId="155">
    <w:name w:val="hilite5"/>
    <w:basedOn w:val="34"/>
    <w:qFormat/>
    <w:uiPriority w:val="0"/>
    <w:rPr>
      <w:color w:val="000000"/>
    </w:rPr>
  </w:style>
  <w:style w:type="character" w:customStyle="1" w:styleId="156">
    <w:name w:val="active5"/>
    <w:basedOn w:val="34"/>
    <w:qFormat/>
    <w:uiPriority w:val="0"/>
    <w:rPr>
      <w:color w:val="FFFFFF"/>
    </w:rPr>
  </w:style>
  <w:style w:type="character" w:customStyle="1" w:styleId="157">
    <w:name w:val="active4"/>
    <w:basedOn w:val="34"/>
    <w:qFormat/>
    <w:uiPriority w:val="0"/>
    <w:rPr>
      <w:color w:val="FFFFFF"/>
    </w:rPr>
  </w:style>
  <w:style w:type="paragraph" w:customStyle="1" w:styleId="158">
    <w:name w:val="标题1"/>
    <w:basedOn w:val="148"/>
    <w:qFormat/>
    <w:uiPriority w:val="0"/>
    <w:pPr>
      <w:numPr>
        <w:ilvl w:val="0"/>
        <w:numId w:val="3"/>
      </w:numPr>
      <w:ind w:right="100" w:rightChars="100" w:firstLine="0" w:firstLineChars="0"/>
    </w:pPr>
    <w:rPr>
      <w:rFonts w:ascii="Calibri" w:hAnsi="Calibri"/>
      <w:b/>
      <w:bCs/>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FEF63-CFF2-4349-ACB1-9D12AF8D67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2951</Words>
  <Characters>16826</Characters>
  <Lines>140</Lines>
  <Paragraphs>39</Paragraphs>
  <TotalTime>6</TotalTime>
  <ScaleCrop>false</ScaleCrop>
  <LinksUpToDate>false</LinksUpToDate>
  <CharactersWithSpaces>19738</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2019-06-13T07:15:00Z</dcterms:created>
  <dc:creator>User</dc:creator>
  <cp:lastModifiedBy>超级大表哥</cp:lastModifiedBy>
  <cp:lastPrinted>2017-09-07T08:25:00Z</cp:lastPrinted>
  <dcterms:modified xsi:type="dcterms:W3CDTF">2020-03-25T08:38:11Z</dcterms:modified>
  <dc:title>第一册  招标项目需求</dc:title>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