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120" w:beforeLines="50" w:after="240" w:afterLines="100" w:line="600" w:lineRule="exact"/>
        <w:jc w:val="center"/>
        <w:rPr>
          <w:rFonts w:ascii="宋体" w:hAnsi="宋体" w:eastAsia="宋体" w:cs="宋体"/>
          <w:kern w:val="0"/>
          <w:sz w:val="44"/>
          <w:szCs w:val="44"/>
        </w:rPr>
      </w:pPr>
      <w:r>
        <w:rPr>
          <w:rFonts w:hint="eastAsia" w:ascii="宋体" w:hAnsi="宋体" w:eastAsia="宋体" w:cs="宋体"/>
          <w:w w:val="95"/>
          <w:kern w:val="0"/>
          <w:sz w:val="44"/>
          <w:szCs w:val="44"/>
        </w:rPr>
        <w:t>招标投标违法违规行为联合查处</w:t>
      </w:r>
      <w:r>
        <w:rPr>
          <w:rFonts w:hint="eastAsia" w:ascii="宋体" w:hAnsi="宋体" w:eastAsia="宋体" w:cs="宋体"/>
          <w:kern w:val="0"/>
          <w:sz w:val="44"/>
          <w:szCs w:val="44"/>
        </w:rPr>
        <w:t>行政监督部门职责分工表</w:t>
      </w:r>
    </w:p>
    <w:tbl>
      <w:tblPr>
        <w:tblStyle w:val="3"/>
        <w:tblW w:w="1434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93"/>
        <w:gridCol w:w="7147"/>
        <w:gridCol w:w="52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3" w:hRule="atLeast"/>
          <w:tblHeader/>
          <w:jc w:val="center"/>
        </w:trPr>
        <w:tc>
          <w:tcPr>
            <w:tcW w:w="1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黑体" w:hAnsi="黑体" w:eastAsia="黑体" w:cs="宋体"/>
                <w:kern w:val="0"/>
                <w:sz w:val="21"/>
                <w:szCs w:val="21"/>
              </w:rPr>
            </w:pPr>
            <w:r>
              <w:rPr>
                <w:rFonts w:hint="eastAsia" w:ascii="黑体" w:hAnsi="黑体" w:eastAsia="黑体" w:cs="宋体"/>
                <w:kern w:val="0"/>
                <w:sz w:val="21"/>
                <w:szCs w:val="21"/>
              </w:rPr>
              <w:t>责任单位</w:t>
            </w:r>
          </w:p>
        </w:tc>
        <w:tc>
          <w:tcPr>
            <w:tcW w:w="714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黑体" w:hAnsi="黑体" w:eastAsia="黑体" w:cs="宋体"/>
                <w:kern w:val="0"/>
                <w:sz w:val="21"/>
                <w:szCs w:val="21"/>
              </w:rPr>
            </w:pPr>
            <w:r>
              <w:rPr>
                <w:rFonts w:hint="eastAsia" w:ascii="黑体" w:hAnsi="黑体" w:eastAsia="黑体" w:cs="宋体"/>
                <w:kern w:val="0"/>
                <w:sz w:val="21"/>
                <w:szCs w:val="21"/>
              </w:rPr>
              <w:t>监管和查处范围</w:t>
            </w:r>
          </w:p>
        </w:tc>
        <w:tc>
          <w:tcPr>
            <w:tcW w:w="52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黑体" w:hAnsi="黑体" w:eastAsia="黑体" w:cs="宋体"/>
                <w:kern w:val="0"/>
                <w:sz w:val="21"/>
                <w:szCs w:val="21"/>
              </w:rPr>
            </w:pPr>
            <w:r>
              <w:rPr>
                <w:rFonts w:hint="eastAsia" w:ascii="黑体" w:hAnsi="黑体" w:eastAsia="黑体" w:cs="宋体"/>
                <w:kern w:val="0"/>
                <w:sz w:val="21"/>
                <w:szCs w:val="21"/>
              </w:rPr>
              <w:t>工作职责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993"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区检察院</w:t>
            </w:r>
          </w:p>
        </w:tc>
        <w:tc>
          <w:tcPr>
            <w:tcW w:w="714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1.在建设工程招标投标和政府采购交易中，对投标单位、投标人进行行贿犯罪档案查询。</w:t>
            </w:r>
          </w:p>
        </w:tc>
        <w:tc>
          <w:tcPr>
            <w:tcW w:w="52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配合相关行政监管部门进行行贿犯罪档案查询，出具书面查询结果报告。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993" w:type="dxa"/>
            <w:vMerge w:val="continue"/>
            <w:tcBorders>
              <w:left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18"/>
                <w:szCs w:val="18"/>
              </w:rPr>
            </w:pPr>
          </w:p>
        </w:tc>
        <w:tc>
          <w:tcPr>
            <w:tcW w:w="7147" w:type="dxa"/>
            <w:tcBorders>
              <w:top w:val="single" w:color="auto" w:sz="4" w:space="0"/>
              <w:left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2.经联席会议会商同意，协助行业主管部门调查取证的其他违法违规行为。</w:t>
            </w:r>
          </w:p>
        </w:tc>
        <w:tc>
          <w:tcPr>
            <w:tcW w:w="5204" w:type="dxa"/>
            <w:tcBorders>
              <w:top w:val="single" w:color="auto" w:sz="4" w:space="0"/>
              <w:left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及时对违法犯罪行为进行调查取证并依法作出处理。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99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区政府采购中心（区建设工程招标投标中心）</w:t>
            </w:r>
          </w:p>
        </w:tc>
        <w:tc>
          <w:tcPr>
            <w:tcW w:w="714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w:t>
            </w:r>
            <w:r>
              <w:rPr>
                <w:rFonts w:hint="eastAsia" w:ascii="仿宋_GB2312" w:eastAsia="仿宋_GB2312"/>
                <w:sz w:val="18"/>
                <w:szCs w:val="18"/>
              </w:rPr>
              <w:t xml:space="preserve"> </w:t>
            </w:r>
            <w:r>
              <w:rPr>
                <w:rFonts w:hint="eastAsia" w:ascii="仿宋_GB2312" w:hAnsi="宋体" w:eastAsia="仿宋_GB2312" w:cs="宋体"/>
                <w:kern w:val="0"/>
                <w:sz w:val="18"/>
                <w:szCs w:val="18"/>
              </w:rPr>
              <w:t>使用预选企业库的招标项目未按《深圳市罗湖区政府投资建设工程预选企业库管理办法》应提交资料而进入</w:t>
            </w:r>
            <w:bookmarkStart w:id="0" w:name="_GoBack"/>
            <w:bookmarkEnd w:id="0"/>
            <w:r>
              <w:rPr>
                <w:rFonts w:hint="eastAsia" w:ascii="仿宋_GB2312" w:hAnsi="宋体" w:eastAsia="仿宋_GB2312" w:cs="宋体"/>
                <w:kern w:val="0"/>
                <w:sz w:val="18"/>
                <w:szCs w:val="18"/>
              </w:rPr>
              <w:t>招标投标程序的。</w:t>
            </w:r>
          </w:p>
        </w:tc>
        <w:tc>
          <w:tcPr>
            <w:tcW w:w="52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督促建设单位完善招标条件。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9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18"/>
                <w:szCs w:val="18"/>
              </w:rPr>
            </w:pPr>
          </w:p>
        </w:tc>
        <w:tc>
          <w:tcPr>
            <w:tcW w:w="714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 受理在区招标投标平台上招标项目的有关单位和个人对招标投标工作的异议，交由建设单位答复。</w:t>
            </w:r>
          </w:p>
        </w:tc>
        <w:tc>
          <w:tcPr>
            <w:tcW w:w="5204" w:type="dxa"/>
            <w:tcBorders>
              <w:top w:val="single" w:color="auto" w:sz="4" w:space="0"/>
              <w:left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会同有关行政监管部门进行联合查处，实施市场准入限制，将查处结果抄送相关行政监管部门。需作出行政处罚的，向相关行政监管部门提出行政处罚建议。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9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18"/>
                <w:szCs w:val="18"/>
              </w:rPr>
            </w:pPr>
          </w:p>
        </w:tc>
        <w:tc>
          <w:tcPr>
            <w:tcW w:w="714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w:t>
            </w:r>
            <w:r>
              <w:rPr>
                <w:rFonts w:hint="eastAsia" w:ascii="仿宋_GB2312" w:eastAsia="仿宋_GB2312"/>
                <w:sz w:val="18"/>
                <w:szCs w:val="18"/>
              </w:rPr>
              <w:t xml:space="preserve"> </w:t>
            </w:r>
            <w:r>
              <w:rPr>
                <w:rFonts w:hint="eastAsia" w:ascii="仿宋_GB2312" w:hAnsi="宋体" w:eastAsia="仿宋_GB2312" w:cs="宋体"/>
                <w:kern w:val="0"/>
                <w:sz w:val="18"/>
                <w:szCs w:val="18"/>
              </w:rPr>
              <w:t>落实各行政监管部门在招标投标事前、事后监管工作中提出招标投标市场准入限制建议的。</w:t>
            </w:r>
          </w:p>
        </w:tc>
        <w:tc>
          <w:tcPr>
            <w:tcW w:w="52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按规定落实制裁措施。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993"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区住房建设局</w:t>
            </w:r>
          </w:p>
        </w:tc>
        <w:tc>
          <w:tcPr>
            <w:tcW w:w="714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1.工程建设项目未具备招标条件而进入招标投标程序的。</w:t>
            </w:r>
          </w:p>
        </w:tc>
        <w:tc>
          <w:tcPr>
            <w:tcW w:w="52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督促建设单位完善招标条件。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993"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18"/>
                <w:szCs w:val="18"/>
              </w:rPr>
            </w:pPr>
          </w:p>
        </w:tc>
        <w:tc>
          <w:tcPr>
            <w:tcW w:w="7147" w:type="dxa"/>
            <w:tcBorders>
              <w:top w:val="single" w:color="auto" w:sz="4" w:space="0"/>
              <w:left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2.必须进行招标的项目而不招标的，将必须进行招标的项目化整为零或者以其他任何方式规避招标。</w:t>
            </w:r>
          </w:p>
          <w:p>
            <w:pPr>
              <w:widowControl/>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3.围标、串通投标、挂靠、转包等严重违法违规行为。</w:t>
            </w:r>
          </w:p>
          <w:p>
            <w:pPr>
              <w:widowControl/>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4.涉及评标结果及建筑市场各方主体在招标投标活动中违法违规行为。</w:t>
            </w:r>
          </w:p>
          <w:p>
            <w:pPr>
              <w:widowControl/>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5.招标投标过程中发现的其他违法违规行为。</w:t>
            </w:r>
          </w:p>
        </w:tc>
        <w:tc>
          <w:tcPr>
            <w:tcW w:w="5204" w:type="dxa"/>
            <w:tcBorders>
              <w:top w:val="single" w:color="auto" w:sz="4" w:space="0"/>
              <w:left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1.负责区管工程建设项目招标标前、标中、标后的监管；</w:t>
            </w:r>
          </w:p>
          <w:p>
            <w:pPr>
              <w:widowControl/>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2.对于能够独立查处招标投标违法违规行为的案件,依法作出相关行政处罚；</w:t>
            </w:r>
          </w:p>
          <w:p>
            <w:pPr>
              <w:widowControl/>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3.由领导小组受理的建设工程招标投标违法违规案件，组织相关成员单位进行联合调查。</w:t>
            </w:r>
          </w:p>
          <w:p>
            <w:pPr>
              <w:widowControl/>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4.如需作出交易限制的，向市区建设工程招标平台提出招标投标市场准入限制书面建议。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993" w:type="dxa"/>
            <w:vMerge w:val="restart"/>
            <w:tcBorders>
              <w:left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区审计局</w:t>
            </w:r>
          </w:p>
        </w:tc>
        <w:tc>
          <w:tcPr>
            <w:tcW w:w="7147" w:type="dxa"/>
            <w:tcBorders>
              <w:top w:val="single" w:color="auto" w:sz="4" w:space="0"/>
              <w:left w:val="single" w:color="auto" w:sz="4" w:space="0"/>
              <w:right w:val="single" w:color="auto" w:sz="4" w:space="0"/>
            </w:tcBorders>
            <w:vAlign w:val="center"/>
          </w:tcPr>
          <w:p>
            <w:pPr>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1.结算送审金额超结算审定金额10%的。</w:t>
            </w:r>
          </w:p>
        </w:tc>
        <w:tc>
          <w:tcPr>
            <w:tcW w:w="5204" w:type="dxa"/>
            <w:tcBorders>
              <w:top w:val="single" w:color="auto" w:sz="4" w:space="0"/>
              <w:left w:val="single" w:color="auto" w:sz="4" w:space="0"/>
              <w:right w:val="single" w:color="auto" w:sz="4" w:space="0"/>
            </w:tcBorders>
            <w:vAlign w:val="center"/>
          </w:tcPr>
          <w:p>
            <w:pPr>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由区审计部门在工程竣工财务决算审计阶段建议区建设部门依法依规给予行政处罚。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993"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18"/>
                <w:szCs w:val="18"/>
              </w:rPr>
            </w:pPr>
          </w:p>
        </w:tc>
        <w:tc>
          <w:tcPr>
            <w:tcW w:w="7147" w:type="dxa"/>
            <w:tcBorders>
              <w:top w:val="single" w:color="auto" w:sz="4" w:space="0"/>
              <w:left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2.在审计中发现各级机关部门、社会组织和国有企事业单位作为业主或主管部门按规定应当招标而未招标的。</w:t>
            </w:r>
          </w:p>
        </w:tc>
        <w:tc>
          <w:tcPr>
            <w:tcW w:w="5204" w:type="dxa"/>
            <w:tcBorders>
              <w:top w:val="single" w:color="auto" w:sz="4" w:space="0"/>
              <w:left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提出相关审计建议书，并抄送区监察部门和行业主管部门。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993"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区工务局</w:t>
            </w:r>
          </w:p>
        </w:tc>
        <w:tc>
          <w:tcPr>
            <w:tcW w:w="7147" w:type="dxa"/>
            <w:tcBorders>
              <w:top w:val="single" w:color="auto" w:sz="4" w:space="0"/>
              <w:left w:val="single" w:color="auto" w:sz="4" w:space="0"/>
              <w:right w:val="single" w:color="auto" w:sz="4" w:space="0"/>
            </w:tcBorders>
            <w:vAlign w:val="center"/>
          </w:tcPr>
          <w:p>
            <w:pPr>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1.预算送审核金额超预算核定金额10%的。</w:t>
            </w:r>
          </w:p>
        </w:tc>
        <w:tc>
          <w:tcPr>
            <w:tcW w:w="5204" w:type="dxa"/>
            <w:tcBorders>
              <w:top w:val="single" w:color="auto" w:sz="4" w:space="0"/>
              <w:left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提出相关审核建议书，并抄送区监察部门和行业主管部门。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993"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18"/>
                <w:szCs w:val="18"/>
              </w:rPr>
            </w:pPr>
          </w:p>
        </w:tc>
        <w:tc>
          <w:tcPr>
            <w:tcW w:w="7147" w:type="dxa"/>
            <w:tcBorders>
              <w:top w:val="single" w:color="auto" w:sz="4" w:space="0"/>
              <w:left w:val="single" w:color="auto" w:sz="4" w:space="0"/>
              <w:right w:val="single" w:color="auto" w:sz="4" w:space="0"/>
            </w:tcBorders>
            <w:vAlign w:val="center"/>
          </w:tcPr>
          <w:p>
            <w:pPr>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2.结算送审核金额超结算核定金额10%的。</w:t>
            </w:r>
          </w:p>
        </w:tc>
        <w:tc>
          <w:tcPr>
            <w:tcW w:w="5204" w:type="dxa"/>
            <w:tcBorders>
              <w:top w:val="single" w:color="auto" w:sz="4" w:space="0"/>
              <w:left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提出相关审核建议书，并抄送区监察部门和行业主管部门。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993" w:type="dxa"/>
            <w:tcBorders>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区发改局</w:t>
            </w:r>
          </w:p>
        </w:tc>
        <w:tc>
          <w:tcPr>
            <w:tcW w:w="7147" w:type="dxa"/>
            <w:tcBorders>
              <w:top w:val="single" w:color="auto" w:sz="4" w:space="0"/>
              <w:left w:val="single" w:color="auto" w:sz="4" w:space="0"/>
              <w:right w:val="single" w:color="auto" w:sz="4" w:space="0"/>
            </w:tcBorders>
            <w:vAlign w:val="center"/>
          </w:tcPr>
          <w:p>
            <w:pPr>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在建设管理中发现实际总投资没有超过原投资计划但设计变更累计增加工程造价超过合同价10%的。</w:t>
            </w:r>
          </w:p>
        </w:tc>
        <w:tc>
          <w:tcPr>
            <w:tcW w:w="5204" w:type="dxa"/>
            <w:tcBorders>
              <w:top w:val="single" w:color="auto" w:sz="4" w:space="0"/>
              <w:left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由区发改部门抄送区建设部门。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993"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区财政局</w:t>
            </w:r>
          </w:p>
        </w:tc>
        <w:tc>
          <w:tcPr>
            <w:tcW w:w="7147"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1.在政府采购资金预算审批、资金结算等采购实施前后的违法违规行为。</w:t>
            </w:r>
          </w:p>
        </w:tc>
        <w:tc>
          <w:tcPr>
            <w:tcW w:w="52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负责政府采购项目的监管，查处政府采购违法违规行为,按照政府采购法依法作出处罚，并将查处结果抄送区监察部门，视情暂停或取消该政府采购项目预算审批。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993" w:type="dxa"/>
            <w:vMerge w:val="continue"/>
            <w:tcBorders>
              <w:left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18"/>
                <w:szCs w:val="18"/>
              </w:rPr>
            </w:pPr>
          </w:p>
        </w:tc>
        <w:tc>
          <w:tcPr>
            <w:tcW w:w="714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2.有关部门、社会组织和国有企事业单位作为采购单位或主管部门按规定应招标而规避招标的行为。</w:t>
            </w:r>
          </w:p>
        </w:tc>
        <w:tc>
          <w:tcPr>
            <w:tcW w:w="5204"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依法对项目采购单位及有关人员作出处罚，并抄送区监察部门。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993" w:type="dxa"/>
            <w:vMerge w:val="continue"/>
            <w:tcBorders>
              <w:left w:val="single" w:color="auto" w:sz="4" w:space="0"/>
              <w:right w:val="single" w:color="auto" w:sz="4" w:space="0"/>
            </w:tcBorders>
            <w:tcMar>
              <w:top w:w="0" w:type="dxa"/>
              <w:left w:w="0" w:type="dxa"/>
              <w:bottom w:w="0" w:type="dxa"/>
              <w:right w:w="0" w:type="dxa"/>
            </w:tcMar>
            <w:vAlign w:val="center"/>
          </w:tcPr>
          <w:p>
            <w:pPr>
              <w:widowControl/>
              <w:spacing w:line="300" w:lineRule="exact"/>
              <w:jc w:val="center"/>
              <w:rPr>
                <w:rFonts w:hint="eastAsia" w:ascii="仿宋_GB2312" w:hAnsi="宋体" w:eastAsia="仿宋_GB2312" w:cs="宋体"/>
                <w:kern w:val="0"/>
                <w:sz w:val="18"/>
                <w:szCs w:val="18"/>
              </w:rPr>
            </w:pPr>
          </w:p>
        </w:tc>
        <w:tc>
          <w:tcPr>
            <w:tcW w:w="714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3.围标、串通投标、虚假应标等严重违法违规行为。</w:t>
            </w:r>
          </w:p>
        </w:tc>
        <w:tc>
          <w:tcPr>
            <w:tcW w:w="5204"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对于能够独立查处政府采购招标投标违法违规行为的案件,依法作出相关行政处罚；由领导小组受理的政府采购招标投标违法违规案件，组织相关成员单位进行联合调查。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993" w:type="dxa"/>
            <w:vMerge w:val="continue"/>
            <w:tcBorders>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300" w:lineRule="exact"/>
              <w:jc w:val="center"/>
              <w:rPr>
                <w:rFonts w:hint="eastAsia" w:ascii="仿宋_GB2312" w:hAnsi="宋体" w:eastAsia="仿宋_GB2312" w:cs="宋体"/>
                <w:kern w:val="0"/>
                <w:sz w:val="18"/>
                <w:szCs w:val="18"/>
              </w:rPr>
            </w:pPr>
          </w:p>
        </w:tc>
        <w:tc>
          <w:tcPr>
            <w:tcW w:w="714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4.受理有关单位和个人对政府采购招标的投诉举报，政府采购过程中的其他违法违规行为。</w:t>
            </w:r>
          </w:p>
        </w:tc>
        <w:tc>
          <w:tcPr>
            <w:tcW w:w="5204"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作为政府采购业务主管部门，依法查处政府采购过程中的违法违规行为，依据相关法律法规作出处罚。如需作出入市限制的，向上一级业务主管部门提出招标投标市场准入限制书面建议。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99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市市场监督管理局罗湖分局</w:t>
            </w:r>
          </w:p>
        </w:tc>
        <w:tc>
          <w:tcPr>
            <w:tcW w:w="714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1.发现在建设工程招标投标和政府采购交易中，存在围标、串通投标、商业贿赂等违反公司法、合同法、反不正当竞争法、拍卖法等法律法规行为的。</w:t>
            </w:r>
          </w:p>
        </w:tc>
        <w:tc>
          <w:tcPr>
            <w:tcW w:w="52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会同行业主管部门及相关部门依法查处，如需作出行政处罚的按法定程序进行处罚，涉嫌犯罪的，移送司法机关查处。如需作出入市限制的，向行业主管部门提出书面建议。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9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18"/>
                <w:szCs w:val="18"/>
              </w:rPr>
            </w:pPr>
          </w:p>
        </w:tc>
        <w:tc>
          <w:tcPr>
            <w:tcW w:w="714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2.相关法律法规规章等明确规定应由工商行政管理部门依法吊销营业执照、停业整顿、罚款等处罚的。</w:t>
            </w:r>
          </w:p>
        </w:tc>
        <w:tc>
          <w:tcPr>
            <w:tcW w:w="52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依法定职责和程序作出行政处罚决定。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市公安局罗湖分局</w:t>
            </w:r>
          </w:p>
        </w:tc>
        <w:tc>
          <w:tcPr>
            <w:tcW w:w="714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1.及时处置扰乱招标投标交易现场秩序的违法行为。</w:t>
            </w:r>
          </w:p>
          <w:p>
            <w:pPr>
              <w:widowControl/>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2.在建设工程招标投标和政府采购交易中，发现投标人提供的投标相关公文、证件、证明文件、印章、票据不真实或伪造，需由公安机关查处的违法行为。</w:t>
            </w:r>
          </w:p>
          <w:p>
            <w:pPr>
              <w:widowControl/>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3.相关部门移送的涉嫌围标、串通投标、挂靠、转包、商业贿赂等犯罪案件需公安机关立案侦查的。</w:t>
            </w:r>
          </w:p>
          <w:p>
            <w:pPr>
              <w:widowControl/>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4.经联席会议会商同意，协助行业主管部门调查取证的其他违法违规行为。</w:t>
            </w:r>
          </w:p>
        </w:tc>
        <w:tc>
          <w:tcPr>
            <w:tcW w:w="52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及时对违法犯罪行为进行调查取证并依法作出处理。</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楷体_GB2312">
    <w:panose1 w:val="02010609030101010101"/>
    <w:charset w:val="86"/>
    <w:family w:val="modern"/>
    <w:pitch w:val="default"/>
    <w:sig w:usb0="00000001" w:usb1="080E0000" w:usb2="00000000" w:usb3="00000000" w:csb0="00040000" w:csb1="00000000"/>
  </w:font>
  <w:font w:name="仿宋_GB2312-WinCharSetFFFF-H">
    <w:altName w:val="方正舒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swiss"/>
    <w:pitch w:val="default"/>
    <w:sig w:usb0="FFFFFFFF" w:usb1="E9FFFFFF" w:usb2="0000003F" w:usb3="00000000" w:csb0="603F01FF" w:csb1="FFFF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CD0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2017-11-28T08:59:11Z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