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640" w:firstLineChars="200"/>
        <w:rPr>
          <w:rFonts w:ascii="仿宋_GB2312" w:hAnsi="仿宋" w:eastAsia="仿宋_GB2312"/>
          <w:sz w:val="32"/>
          <w:szCs w:val="32"/>
        </w:rPr>
      </w:pPr>
      <w:r>
        <w:rPr>
          <w:rFonts w:ascii="仿宋_GB2312" w:hAnsi="仿宋" w:eastAsia="仿宋_GB2312"/>
          <w:sz w:val="32"/>
          <w:szCs w:val="32"/>
        </w:rPr>
        <w:t>附件</w:t>
      </w:r>
      <w:r>
        <w:rPr>
          <w:rFonts w:hint="eastAsia" w:ascii="仿宋_GB2312" w:hAnsi="仿宋" w:eastAsia="仿宋_GB2312"/>
          <w:sz w:val="32"/>
          <w:szCs w:val="32"/>
        </w:rPr>
        <w:t>1：</w:t>
      </w:r>
      <w:bookmarkStart w:id="0" w:name="_GoBack"/>
      <w:r>
        <w:rPr>
          <w:rFonts w:ascii="仿宋_GB2312" w:hAnsi="仿宋" w:eastAsia="仿宋_GB2312"/>
          <w:sz w:val="32"/>
          <w:szCs w:val="32"/>
        </w:rPr>
        <w:t>《招标投标类不良行为一览表》</w:t>
      </w:r>
      <w:bookmarkEnd w:id="0"/>
    </w:p>
    <w:p>
      <w:pPr>
        <w:spacing w:line="360" w:lineRule="exact"/>
        <w:ind w:firstLine="640" w:firstLineChars="200"/>
        <w:rPr>
          <w:rFonts w:ascii="仿宋_GB2312" w:hAnsi="仿宋" w:eastAsia="仿宋_GB2312"/>
          <w:sz w:val="32"/>
          <w:szCs w:val="32"/>
        </w:rPr>
      </w:pPr>
    </w:p>
    <w:tbl>
      <w:tblPr>
        <w:tblStyle w:val="3"/>
        <w:tblW w:w="8429" w:type="dxa"/>
        <w:jc w:val="center"/>
        <w:tblInd w:w="0" w:type="dxa"/>
        <w:tblLayout w:type="fixed"/>
        <w:tblCellMar>
          <w:top w:w="0" w:type="dxa"/>
          <w:left w:w="108" w:type="dxa"/>
          <w:bottom w:w="0" w:type="dxa"/>
          <w:right w:w="108" w:type="dxa"/>
        </w:tblCellMar>
      </w:tblPr>
      <w:tblGrid>
        <w:gridCol w:w="758"/>
        <w:gridCol w:w="722"/>
        <w:gridCol w:w="6949"/>
      </w:tblGrid>
      <w:tr>
        <w:tblPrEx>
          <w:tblLayout w:type="fixed"/>
          <w:tblCellMar>
            <w:top w:w="0" w:type="dxa"/>
            <w:left w:w="108" w:type="dxa"/>
            <w:bottom w:w="0" w:type="dxa"/>
            <w:right w:w="108" w:type="dxa"/>
          </w:tblCellMar>
        </w:tblPrEx>
        <w:trPr>
          <w:trHeight w:val="1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黑体" w:hAnsi="黑体" w:eastAsia="黑体" w:cs="宋体"/>
                <w:b w:val="0"/>
                <w:bCs w:val="0"/>
                <w:kern w:val="0"/>
                <w:sz w:val="22"/>
              </w:rPr>
            </w:pPr>
            <w:r>
              <w:rPr>
                <w:rFonts w:hint="eastAsia" w:ascii="黑体" w:hAnsi="黑体" w:eastAsia="黑体" w:cs="宋体"/>
                <w:b w:val="0"/>
                <w:bCs w:val="0"/>
                <w:kern w:val="0"/>
                <w:sz w:val="22"/>
              </w:rPr>
              <w:t>类别</w:t>
            </w:r>
          </w:p>
        </w:tc>
        <w:tc>
          <w:tcPr>
            <w:tcW w:w="722" w:type="dxa"/>
            <w:tcBorders>
              <w:top w:val="single" w:color="auto" w:sz="4" w:space="0"/>
              <w:left w:val="single" w:color="auto" w:sz="4" w:space="0"/>
              <w:bottom w:val="single" w:color="auto" w:sz="4" w:space="0"/>
              <w:right w:val="single" w:color="auto" w:sz="4" w:space="0"/>
            </w:tcBorders>
            <w:vAlign w:val="center"/>
          </w:tcPr>
          <w:p/>
          <w:p/>
          <w:p>
            <w:pPr>
              <w:widowControl/>
              <w:spacing w:line="360" w:lineRule="exact"/>
              <w:jc w:val="center"/>
              <w:rPr>
                <w:rFonts w:hint="eastAsia" w:ascii="黑体" w:hAnsi="黑体" w:eastAsia="黑体" w:cs="宋体"/>
                <w:b w:val="0"/>
                <w:bCs w:val="0"/>
                <w:kern w:val="0"/>
                <w:sz w:val="22"/>
              </w:rPr>
            </w:pPr>
            <w:r>
              <w:rPr>
                <w:rFonts w:hint="eastAsia" w:ascii="黑体" w:hAnsi="黑体" w:eastAsia="黑体" w:cs="宋体"/>
                <w:b w:val="0"/>
                <w:bCs w:val="0"/>
                <w:kern w:val="0"/>
                <w:sz w:val="22"/>
              </w:rPr>
              <w:t>序号</w:t>
            </w:r>
          </w:p>
        </w:tc>
        <w:tc>
          <w:tcPr>
            <w:tcW w:w="69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黑体" w:hAnsi="黑体" w:eastAsia="黑体" w:cs="宋体"/>
                <w:b w:val="0"/>
                <w:bCs w:val="0"/>
                <w:kern w:val="0"/>
                <w:sz w:val="22"/>
              </w:rPr>
            </w:pPr>
            <w:r>
              <w:rPr>
                <w:rFonts w:hint="eastAsia" w:ascii="黑体" w:hAnsi="黑体" w:eastAsia="黑体" w:cs="宋体"/>
                <w:b w:val="0"/>
                <w:bCs w:val="0"/>
                <w:kern w:val="0"/>
                <w:sz w:val="22"/>
              </w:rPr>
              <w:t>行为描述</w:t>
            </w:r>
          </w:p>
        </w:tc>
      </w:tr>
      <w:tr>
        <w:tblPrEx>
          <w:tblLayout w:type="fixed"/>
          <w:tblCellMar>
            <w:top w:w="0" w:type="dxa"/>
            <w:left w:w="108" w:type="dxa"/>
            <w:bottom w:w="0" w:type="dxa"/>
            <w:right w:w="108" w:type="dxa"/>
          </w:tblCellMar>
        </w:tblPrEx>
        <w:trPr>
          <w:trHeight w:val="240" w:hRule="atLeast"/>
          <w:jc w:val="center"/>
        </w:trPr>
        <w:tc>
          <w:tcPr>
            <w:tcW w:w="75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eastAsia" w:ascii="仿宋_GB2312" w:hAnsi="宋体" w:eastAsia="仿宋_GB2312" w:cs="宋体"/>
                <w:b w:val="0"/>
                <w:bCs w:val="0"/>
                <w:kern w:val="0"/>
                <w:sz w:val="22"/>
              </w:rPr>
            </w:pPr>
            <w:r>
              <w:rPr>
                <w:rFonts w:hint="eastAsia" w:ascii="仿宋_GB2312" w:hAnsi="宋体" w:eastAsia="仿宋_GB2312" w:cs="宋体"/>
                <w:b w:val="0"/>
                <w:bCs w:val="0"/>
                <w:kern w:val="0"/>
                <w:sz w:val="22"/>
              </w:rPr>
              <w:t>招标投标类</w:t>
            </w:r>
          </w:p>
        </w:tc>
        <w:tc>
          <w:tcPr>
            <w:tcW w:w="722" w:type="dxa"/>
            <w:tcBorders>
              <w:top w:val="single" w:color="auto" w:sz="4" w:space="0"/>
              <w:left w:val="nil"/>
              <w:bottom w:val="single" w:color="auto" w:sz="4" w:space="0"/>
              <w:right w:val="single" w:color="auto" w:sz="4" w:space="0"/>
            </w:tcBorders>
            <w:shd w:val="clear" w:color="auto" w:fill="auto"/>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不具备自行组织招标的条件而自行组织招标的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未按规定开标的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未按规定组建评标委员会的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未按规定办理有关招标投标备案手续的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在投标前联络评标专家，给予好处或承诺给予好处的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投标文件中存在严重不平衡报价的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以联合体形式投标，联合体成员又以自己名义单独投标、或者参加其他联合体投同一个标的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无故放弃中标候选人资格的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无故缺席评标会答辩或答辩迟到30分钟以上的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学校合成材料运动场地面层建设工程的招标采购简单以“最低价法”定标</w:t>
            </w:r>
          </w:p>
        </w:tc>
      </w:tr>
      <w:tr>
        <w:tblPrEx>
          <w:tblLayout w:type="fixed"/>
          <w:tblCellMar>
            <w:top w:w="0" w:type="dxa"/>
            <w:left w:w="108" w:type="dxa"/>
            <w:bottom w:w="0" w:type="dxa"/>
            <w:right w:w="108" w:type="dxa"/>
          </w:tblCellMar>
        </w:tblPrEx>
        <w:trPr>
          <w:trHeight w:val="72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同一工程的施工单位和监理单位之间、招标代理机构和投标单位之间、施工单位和设备（材料）供应商之间违反规定，相互间有隶属关系或者其他利害关系的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在所代理的招标项目中投标、代理投标或者向该项目投标人提供咨询的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13</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参加受托编制招标控制价项目的投标或者为该项目的投标人编制投标文件、提供咨询的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14</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未按投标承诺的项目班子成员（包括项目负责人、建造师、项目总监等）、机械设备进行配备的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施工企业或劳务分包企业配备的劳务队长不在岗的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招标文件中暂估部分的工程估价设定不符合有关规定的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不按合同约定编制结算文件，情节严重的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工程造价成果文件签章不符合相关规定的</w:t>
            </w:r>
          </w:p>
        </w:tc>
      </w:tr>
      <w:tr>
        <w:tblPrEx>
          <w:tblLayout w:type="fixed"/>
          <w:tblCellMar>
            <w:top w:w="0" w:type="dxa"/>
            <w:left w:w="108" w:type="dxa"/>
            <w:bottom w:w="0" w:type="dxa"/>
            <w:right w:w="108" w:type="dxa"/>
          </w:tblCellMar>
        </w:tblPrEx>
        <w:trPr>
          <w:trHeight w:val="24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19</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在本市范围内从业的造价咨询企业未到市建设行政主管部门备案的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外地企业在我市承接单项咨询业务，未及时到市建设行政主管部门备案的</w:t>
            </w:r>
          </w:p>
        </w:tc>
      </w:tr>
      <w:tr>
        <w:tblPrEx>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21</w:t>
            </w:r>
          </w:p>
        </w:tc>
        <w:tc>
          <w:tcPr>
            <w:tcW w:w="6949"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除法律、法规另有规定外，未经委托人书面同意，对外提供在造价咨询服务过程中获知的当事人的商业秘密和业务资料的</w:t>
            </w:r>
          </w:p>
        </w:tc>
      </w:tr>
      <w:tr>
        <w:tblPrEx>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22</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对拒不配合履约合同审计的</w:t>
            </w:r>
          </w:p>
        </w:tc>
      </w:tr>
    </w:tbl>
    <w:p>
      <w:r>
        <w:br w:type="page"/>
      </w:r>
    </w:p>
    <w:tbl>
      <w:tblPr>
        <w:tblStyle w:val="3"/>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22"/>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5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23</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企业受市、区主管部门通报批评，受市政府或安监机构通报批评，受省主管部门或住建部通报批评的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24</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假造监管部门证件、印章、文件的，向监管部门提交的文件资料弄虚作假的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25</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对招标文件内容把关不严，填报的招标数据在公开发布后申请修改；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26</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对资格审查结果把关不严，在资格审查结果公示结束后发现入围的合格投标人存在依规应不予审查通过的情形；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27</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票决淘汰部分合格投标人、票决定标未事先制定相应定标工作规则的；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28</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对评标、定标过程出现明显错漏等问题未及时发现的；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29</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无正当理由延期定标，或者延期定标未将延期原因和最终定标日期进行公示的；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投标人或者其他利害关系人在规定期限内提出异议，招标人未按规定受理或者答复异议的；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31</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招标人对招标方案的不合法合规问题拒不整改，备案未通过的；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32</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招标人提交的招标投标情况报告里存在不合法合规问题的；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33</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其他未按招标投标法律法规以及本办法规定进行招标投标活动的。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34</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结算审计金额超出概算100万元且达到原投资计划10%以上的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送审工程造价超过工程结算价一定比例,且区审计部门建议依法依规给予处罚的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vMerge w:val="continue"/>
            <w:tcBorders>
              <w:top w:val="nil"/>
              <w:left w:val="single" w:color="auto" w:sz="4" w:space="0"/>
              <w:bottom w:val="nil"/>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36</w:t>
            </w:r>
          </w:p>
        </w:tc>
        <w:tc>
          <w:tcPr>
            <w:tcW w:w="6949"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建设工程标后评估发现的市场主体其他失误行为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58"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hint="eastAsia" w:ascii="仿宋_GB2312" w:hAnsi="宋体" w:eastAsia="仿宋_GB2312" w:cs="宋体"/>
                <w:b w:val="0"/>
                <w:bCs w:val="0"/>
                <w:kern w:val="0"/>
                <w:sz w:val="22"/>
              </w:rPr>
            </w:pPr>
          </w:p>
        </w:tc>
        <w:tc>
          <w:tcPr>
            <w:tcW w:w="722" w:type="dxa"/>
            <w:tcBorders>
              <w:top w:val="single" w:color="auto" w:sz="4" w:space="0"/>
              <w:left w:val="nil"/>
              <w:bottom w:val="single" w:color="auto" w:sz="4" w:space="0"/>
              <w:right w:val="single" w:color="auto" w:sz="4" w:space="0"/>
            </w:tcBorders>
            <w:shd w:val="clear" w:color="000000" w:fill="FFFFFF"/>
            <w:vAlign w:val="top"/>
          </w:tcPr>
          <w:p>
            <w:pPr>
              <w:widowControl/>
              <w:spacing w:line="3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37</w:t>
            </w:r>
          </w:p>
        </w:tc>
        <w:tc>
          <w:tcPr>
            <w:tcW w:w="694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区预选企业库预选企业被清理出库的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_GB2312-WinCharSetFFFF-H">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85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2017-11-28T08:07:30Z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